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8B4" w:rsidRDefault="00C224B0" w:rsidP="00C224B0">
      <w:pPr>
        <w:tabs>
          <w:tab w:val="left" w:pos="2650"/>
          <w:tab w:val="left" w:pos="5110"/>
          <w:tab w:val="left" w:pos="7570"/>
          <w:tab w:val="left" w:pos="10031"/>
          <w:tab w:val="left" w:pos="12492"/>
        </w:tabs>
        <w:spacing w:after="0" w:line="240" w:lineRule="auto"/>
        <w:rPr>
          <w:rFonts w:ascii="Arial" w:hAnsi="Arial" w:cs="Arial"/>
          <w:b/>
          <w:caps/>
        </w:rPr>
      </w:pPr>
      <w:r w:rsidRPr="00B568B4">
        <w:rPr>
          <w:rFonts w:ascii="Arial" w:hAnsi="Arial" w:cs="Arial"/>
          <w:b/>
          <w:caps/>
        </w:rPr>
        <w:t>Strategic Review re</w:t>
      </w:r>
      <w:r w:rsidR="00144AED" w:rsidRPr="00B568B4">
        <w:rPr>
          <w:rFonts w:ascii="Arial" w:hAnsi="Arial" w:cs="Arial"/>
          <w:b/>
          <w:caps/>
        </w:rPr>
        <w:t>s</w:t>
      </w:r>
      <w:r w:rsidRPr="00B568B4">
        <w:rPr>
          <w:rFonts w:ascii="Arial" w:hAnsi="Arial" w:cs="Arial"/>
          <w:b/>
          <w:caps/>
        </w:rPr>
        <w:t xml:space="preserve">ponse: </w:t>
      </w:r>
    </w:p>
    <w:p w:rsidR="00C224B0" w:rsidRPr="00B568B4" w:rsidRDefault="00C224B0" w:rsidP="00C224B0">
      <w:pPr>
        <w:tabs>
          <w:tab w:val="left" w:pos="2650"/>
          <w:tab w:val="left" w:pos="5110"/>
          <w:tab w:val="left" w:pos="7570"/>
          <w:tab w:val="left" w:pos="10031"/>
          <w:tab w:val="left" w:pos="12492"/>
        </w:tabs>
        <w:spacing w:after="0" w:line="240" w:lineRule="auto"/>
        <w:rPr>
          <w:rFonts w:ascii="Arial" w:hAnsi="Arial" w:cs="Arial"/>
          <w:caps/>
        </w:rPr>
      </w:pPr>
      <w:r w:rsidRPr="00B568B4">
        <w:rPr>
          <w:rFonts w:ascii="Arial" w:hAnsi="Arial" w:cs="Arial"/>
          <w:b/>
          <w:caps/>
        </w:rPr>
        <w:t>CCSG Issues</w:t>
      </w:r>
      <w:r w:rsidR="00F708C9" w:rsidRPr="00B568B4">
        <w:rPr>
          <w:rFonts w:ascii="Arial" w:hAnsi="Arial" w:cs="Arial"/>
          <w:b/>
          <w:caps/>
        </w:rPr>
        <w:t xml:space="preserve"> – membership and committees</w:t>
      </w:r>
    </w:p>
    <w:p w:rsidR="00C224B0" w:rsidRPr="00B568B4" w:rsidRDefault="00C224B0" w:rsidP="00C224B0">
      <w:pPr>
        <w:tabs>
          <w:tab w:val="left" w:pos="2650"/>
          <w:tab w:val="left" w:pos="5110"/>
          <w:tab w:val="left" w:pos="7570"/>
          <w:tab w:val="left" w:pos="10031"/>
          <w:tab w:val="left" w:pos="12492"/>
        </w:tabs>
        <w:spacing w:after="0" w:line="240" w:lineRule="auto"/>
        <w:rPr>
          <w:rFonts w:ascii="Arial" w:hAnsi="Arial" w:cs="Arial"/>
        </w:rPr>
      </w:pPr>
    </w:p>
    <w:p w:rsidR="00F708C9" w:rsidRPr="00B568B4" w:rsidRDefault="00F708C9" w:rsidP="00F708C9">
      <w:pPr>
        <w:spacing w:after="0"/>
        <w:rPr>
          <w:rFonts w:ascii="Arial" w:hAnsi="Arial" w:cs="Arial"/>
          <w:bCs/>
        </w:rPr>
      </w:pPr>
      <w:r w:rsidRPr="00B568B4">
        <w:rPr>
          <w:rFonts w:ascii="Arial" w:hAnsi="Arial" w:cs="Arial"/>
          <w:b/>
          <w:bCs/>
        </w:rPr>
        <w:t xml:space="preserve">Document prepared by: </w:t>
      </w:r>
      <w:r w:rsidRPr="00B568B4">
        <w:rPr>
          <w:rFonts w:ascii="Arial" w:hAnsi="Arial" w:cs="Arial"/>
          <w:bCs/>
        </w:rPr>
        <w:t>Nick Royle, CEO, The Cochrane Collaboration</w:t>
      </w:r>
    </w:p>
    <w:p w:rsidR="00F708C9" w:rsidRPr="00B568B4" w:rsidRDefault="00F708C9" w:rsidP="00F708C9">
      <w:pPr>
        <w:spacing w:after="0"/>
        <w:rPr>
          <w:rFonts w:ascii="Arial" w:hAnsi="Arial" w:cs="Arial"/>
          <w:b/>
          <w:bCs/>
        </w:rPr>
      </w:pPr>
      <w:r w:rsidRPr="00B568B4">
        <w:rPr>
          <w:rFonts w:ascii="Arial" w:hAnsi="Arial" w:cs="Arial"/>
          <w:b/>
          <w:bCs/>
        </w:rPr>
        <w:t xml:space="preserve">Submitted to Steering Group: </w:t>
      </w:r>
      <w:r w:rsidRPr="00B568B4">
        <w:rPr>
          <w:rFonts w:ascii="Arial" w:hAnsi="Arial" w:cs="Arial"/>
          <w:bCs/>
        </w:rPr>
        <w:t>22 Feb</w:t>
      </w:r>
      <w:r w:rsidR="00B568B4" w:rsidRPr="00B568B4">
        <w:rPr>
          <w:rFonts w:ascii="Arial" w:hAnsi="Arial" w:cs="Arial"/>
          <w:bCs/>
        </w:rPr>
        <w:t>ruary</w:t>
      </w:r>
      <w:r w:rsidRPr="00B568B4">
        <w:rPr>
          <w:rFonts w:ascii="Arial" w:hAnsi="Arial" w:cs="Arial"/>
          <w:bCs/>
        </w:rPr>
        <w:t xml:space="preserve"> 2010</w:t>
      </w:r>
    </w:p>
    <w:p w:rsidR="00F708C9" w:rsidRPr="00B568B4" w:rsidRDefault="00F708C9" w:rsidP="00C224B0">
      <w:pPr>
        <w:tabs>
          <w:tab w:val="left" w:pos="2650"/>
          <w:tab w:val="left" w:pos="5110"/>
          <w:tab w:val="left" w:pos="7570"/>
          <w:tab w:val="left" w:pos="10031"/>
          <w:tab w:val="left" w:pos="12492"/>
        </w:tabs>
        <w:spacing w:after="0" w:line="240" w:lineRule="auto"/>
        <w:rPr>
          <w:rFonts w:ascii="Arial" w:hAnsi="Arial" w:cs="Arial"/>
        </w:rPr>
      </w:pPr>
    </w:p>
    <w:p w:rsidR="00C224B0" w:rsidRPr="00B568B4" w:rsidRDefault="00813FB6"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b/>
        </w:rPr>
        <w:t>Purpose</w:t>
      </w:r>
    </w:p>
    <w:p w:rsidR="00813FB6" w:rsidRPr="00B568B4" w:rsidRDefault="00813FB6"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This paper is a response to the Strategic review, and follows on from the interim paper on CCSG issues presented to the CCSG in Singapore 2009. It provides options for changing the CCSG membership, and for a revised committee structure.</w:t>
      </w:r>
    </w:p>
    <w:p w:rsidR="00813FB6" w:rsidRPr="00B568B4" w:rsidRDefault="00813FB6" w:rsidP="00C224B0">
      <w:pPr>
        <w:tabs>
          <w:tab w:val="left" w:pos="2650"/>
          <w:tab w:val="left" w:pos="5110"/>
          <w:tab w:val="left" w:pos="7570"/>
          <w:tab w:val="left" w:pos="10031"/>
          <w:tab w:val="left" w:pos="12492"/>
        </w:tabs>
        <w:spacing w:after="0" w:line="240" w:lineRule="auto"/>
        <w:rPr>
          <w:rFonts w:ascii="Arial" w:hAnsi="Arial" w:cs="Arial"/>
        </w:rPr>
      </w:pPr>
    </w:p>
    <w:p w:rsidR="00813FB6" w:rsidRPr="00B568B4" w:rsidRDefault="00813FB6"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The paper does not go into background and rationale for the various proposals where these have been provided previously (through Alessandro Liberati’s 20</w:t>
      </w:r>
      <w:r w:rsidR="00C938C0" w:rsidRPr="00B568B4">
        <w:rPr>
          <w:rFonts w:ascii="Arial" w:hAnsi="Arial" w:cs="Arial"/>
        </w:rPr>
        <w:t>05-</w:t>
      </w:r>
      <w:r w:rsidRPr="00B568B4">
        <w:rPr>
          <w:rFonts w:ascii="Arial" w:hAnsi="Arial" w:cs="Arial"/>
        </w:rPr>
        <w:t>06 review of the Steering Group, through Jeremy Grimshaw’s 2007-08 review of the Collaboration, and in the paper</w:t>
      </w:r>
      <w:r w:rsidR="00C938C0" w:rsidRPr="00B568B4">
        <w:rPr>
          <w:rFonts w:ascii="Arial" w:hAnsi="Arial" w:cs="Arial"/>
        </w:rPr>
        <w:t xml:space="preserve"> on this subject submitted to the Singapore 2009 CCSG meeting</w:t>
      </w:r>
      <w:r w:rsidRPr="00B568B4">
        <w:rPr>
          <w:rFonts w:ascii="Arial" w:hAnsi="Arial" w:cs="Arial"/>
        </w:rPr>
        <w:t>).</w:t>
      </w:r>
    </w:p>
    <w:p w:rsidR="00C224B0" w:rsidRPr="00B568B4" w:rsidRDefault="00C224B0" w:rsidP="00C224B0">
      <w:pPr>
        <w:tabs>
          <w:tab w:val="left" w:pos="2650"/>
          <w:tab w:val="left" w:pos="5110"/>
          <w:tab w:val="left" w:pos="7570"/>
          <w:tab w:val="left" w:pos="10031"/>
          <w:tab w:val="left" w:pos="12492"/>
        </w:tabs>
        <w:spacing w:after="0" w:line="240" w:lineRule="auto"/>
        <w:rPr>
          <w:rFonts w:ascii="Arial" w:hAnsi="Arial" w:cs="Arial"/>
        </w:rPr>
      </w:pPr>
    </w:p>
    <w:p w:rsidR="00F708C9" w:rsidRPr="00B568B4" w:rsidRDefault="00F708C9"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b/>
        </w:rPr>
        <w:t>Urgency</w:t>
      </w:r>
      <w:r w:rsidRPr="00B568B4">
        <w:rPr>
          <w:rFonts w:ascii="Arial" w:hAnsi="Arial" w:cs="Arial"/>
        </w:rPr>
        <w:t xml:space="preserve">  Low</w:t>
      </w:r>
    </w:p>
    <w:p w:rsidR="00F708C9" w:rsidRPr="00B568B4" w:rsidRDefault="00F708C9" w:rsidP="00C224B0">
      <w:pPr>
        <w:tabs>
          <w:tab w:val="left" w:pos="2650"/>
          <w:tab w:val="left" w:pos="5110"/>
          <w:tab w:val="left" w:pos="7570"/>
          <w:tab w:val="left" w:pos="10031"/>
          <w:tab w:val="left" w:pos="12492"/>
        </w:tabs>
        <w:spacing w:after="0" w:line="240" w:lineRule="auto"/>
        <w:rPr>
          <w:rFonts w:ascii="Arial" w:hAnsi="Arial" w:cs="Arial"/>
        </w:rPr>
      </w:pPr>
    </w:p>
    <w:p w:rsidR="00F708C9" w:rsidRPr="00B568B4" w:rsidRDefault="00F708C9"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b/>
        </w:rPr>
        <w:t>Access</w:t>
      </w:r>
      <w:r w:rsidRPr="00B568B4">
        <w:rPr>
          <w:rFonts w:ascii="Arial" w:hAnsi="Arial" w:cs="Arial"/>
        </w:rPr>
        <w:t xml:space="preserve">  Open</w:t>
      </w:r>
    </w:p>
    <w:p w:rsidR="00F708C9" w:rsidRPr="00B568B4" w:rsidRDefault="00F708C9" w:rsidP="00C224B0">
      <w:pPr>
        <w:tabs>
          <w:tab w:val="left" w:pos="2650"/>
          <w:tab w:val="left" w:pos="5110"/>
          <w:tab w:val="left" w:pos="7570"/>
          <w:tab w:val="left" w:pos="10031"/>
          <w:tab w:val="left" w:pos="12492"/>
        </w:tabs>
        <w:spacing w:after="0" w:line="240" w:lineRule="auto"/>
        <w:rPr>
          <w:rFonts w:ascii="Arial" w:hAnsi="Arial" w:cs="Arial"/>
        </w:rPr>
      </w:pPr>
    </w:p>
    <w:p w:rsidR="00C224B0" w:rsidRPr="00B568B4" w:rsidRDefault="00F708C9"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b/>
        </w:rPr>
        <w:t>Proposals and discussion</w:t>
      </w: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rPr>
      </w:pPr>
    </w:p>
    <w:p w:rsidR="00EE0CCB" w:rsidRPr="00B568B4" w:rsidRDefault="00844AC8" w:rsidP="00C224B0">
      <w:pPr>
        <w:tabs>
          <w:tab w:val="left" w:pos="2650"/>
          <w:tab w:val="left" w:pos="5110"/>
          <w:tab w:val="left" w:pos="7570"/>
          <w:tab w:val="left" w:pos="10031"/>
          <w:tab w:val="left" w:pos="12492"/>
        </w:tabs>
        <w:spacing w:after="0" w:line="240" w:lineRule="auto"/>
        <w:rPr>
          <w:rFonts w:ascii="Arial" w:hAnsi="Arial" w:cs="Arial"/>
          <w:b/>
        </w:rPr>
      </w:pPr>
      <w:r w:rsidRPr="00B568B4">
        <w:rPr>
          <w:rFonts w:ascii="Arial" w:hAnsi="Arial" w:cs="Arial"/>
          <w:b/>
        </w:rPr>
        <w:t>Options for changing the CCSG membership structure</w:t>
      </w:r>
    </w:p>
    <w:p w:rsidR="00813FB6" w:rsidRPr="00B568B4" w:rsidRDefault="00813FB6" w:rsidP="00C224B0">
      <w:pPr>
        <w:tabs>
          <w:tab w:val="left" w:pos="2650"/>
          <w:tab w:val="left" w:pos="5110"/>
          <w:tab w:val="left" w:pos="7570"/>
          <w:tab w:val="left" w:pos="10031"/>
          <w:tab w:val="left" w:pos="12492"/>
        </w:tabs>
        <w:spacing w:after="0" w:line="240" w:lineRule="auto"/>
        <w:rPr>
          <w:rFonts w:ascii="Arial" w:hAnsi="Arial" w:cs="Arial"/>
        </w:rPr>
      </w:pPr>
    </w:p>
    <w:p w:rsidR="00C14FE5" w:rsidRPr="00B568B4" w:rsidRDefault="00C14FE5"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Alessandro Liberati’s 20</w:t>
      </w:r>
      <w:r w:rsidR="00C938C0" w:rsidRPr="00B568B4">
        <w:rPr>
          <w:rFonts w:ascii="Arial" w:hAnsi="Arial" w:cs="Arial"/>
        </w:rPr>
        <w:t>05-</w:t>
      </w:r>
      <w:r w:rsidRPr="00B568B4">
        <w:rPr>
          <w:rFonts w:ascii="Arial" w:hAnsi="Arial" w:cs="Arial"/>
        </w:rPr>
        <w:t xml:space="preserve">06 Steering Group review, and Jeremy Grimshaw’s 2007-08 review of the </w:t>
      </w:r>
      <w:r w:rsidR="00597E50" w:rsidRPr="00B568B4">
        <w:rPr>
          <w:rFonts w:ascii="Arial" w:hAnsi="Arial" w:cs="Arial"/>
        </w:rPr>
        <w:t>C</w:t>
      </w:r>
      <w:r w:rsidRPr="00B568B4">
        <w:rPr>
          <w:rFonts w:ascii="Arial" w:hAnsi="Arial" w:cs="Arial"/>
        </w:rPr>
        <w:t>ollaboration, appear</w:t>
      </w:r>
      <w:r w:rsidR="00844AC8" w:rsidRPr="00B568B4">
        <w:rPr>
          <w:rFonts w:ascii="Arial" w:hAnsi="Arial" w:cs="Arial"/>
        </w:rPr>
        <w:t xml:space="preserve"> to suggest that a majority of people are </w:t>
      </w:r>
      <w:r w:rsidRPr="00B568B4">
        <w:rPr>
          <w:rFonts w:ascii="Arial" w:hAnsi="Arial" w:cs="Arial"/>
        </w:rPr>
        <w:t xml:space="preserve">broadly </w:t>
      </w:r>
      <w:r w:rsidR="00844AC8" w:rsidRPr="00B568B4">
        <w:rPr>
          <w:rFonts w:ascii="Arial" w:hAnsi="Arial" w:cs="Arial"/>
        </w:rPr>
        <w:t xml:space="preserve">content with the CCSG’s current representative structure, </w:t>
      </w:r>
      <w:r w:rsidRPr="00B568B4">
        <w:rPr>
          <w:rFonts w:ascii="Arial" w:hAnsi="Arial" w:cs="Arial"/>
        </w:rPr>
        <w:t xml:space="preserve">but that there is some appetite both amongst the Collaboration, and amongst CCSG members, to make </w:t>
      </w:r>
      <w:r w:rsidR="00597E50" w:rsidRPr="00B568B4">
        <w:rPr>
          <w:rFonts w:ascii="Arial" w:hAnsi="Arial" w:cs="Arial"/>
        </w:rPr>
        <w:t xml:space="preserve">sensible </w:t>
      </w:r>
      <w:r w:rsidRPr="00B568B4">
        <w:rPr>
          <w:rFonts w:ascii="Arial" w:hAnsi="Arial" w:cs="Arial"/>
        </w:rPr>
        <w:t>changes. There was some enthusiasm expressed by CCSG members for</w:t>
      </w:r>
      <w:r w:rsidR="00844AC8" w:rsidRPr="00B568B4">
        <w:rPr>
          <w:rFonts w:ascii="Arial" w:hAnsi="Arial" w:cs="Arial"/>
        </w:rPr>
        <w:t xml:space="preserve"> taking on an oversight role for specific portfolios of work. There seems to be little appetite at this time to move to a fully elected functional model. </w:t>
      </w:r>
    </w:p>
    <w:p w:rsidR="00597E50" w:rsidRPr="00B568B4" w:rsidRDefault="00597E50" w:rsidP="00C224B0">
      <w:pPr>
        <w:tabs>
          <w:tab w:val="left" w:pos="2650"/>
          <w:tab w:val="left" w:pos="5110"/>
          <w:tab w:val="left" w:pos="7570"/>
          <w:tab w:val="left" w:pos="10031"/>
          <w:tab w:val="left" w:pos="12492"/>
        </w:tabs>
        <w:spacing w:after="0" w:line="240" w:lineRule="auto"/>
        <w:rPr>
          <w:rFonts w:ascii="Arial" w:hAnsi="Arial" w:cs="Arial"/>
        </w:rPr>
      </w:pPr>
    </w:p>
    <w:p w:rsidR="00597E50" w:rsidRPr="00B568B4" w:rsidRDefault="00597E50"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This paper therefore makes two recommendations regarding CCSG membership:</w:t>
      </w:r>
    </w:p>
    <w:p w:rsidR="00597E50" w:rsidRPr="00B568B4" w:rsidRDefault="00597E50" w:rsidP="00C224B0">
      <w:pPr>
        <w:tabs>
          <w:tab w:val="left" w:pos="2650"/>
          <w:tab w:val="left" w:pos="5110"/>
          <w:tab w:val="left" w:pos="7570"/>
          <w:tab w:val="left" w:pos="10031"/>
          <w:tab w:val="left" w:pos="12492"/>
        </w:tabs>
        <w:spacing w:after="0" w:line="240" w:lineRule="auto"/>
        <w:rPr>
          <w:rFonts w:ascii="Arial" w:hAnsi="Arial" w:cs="Arial"/>
        </w:rPr>
      </w:pPr>
    </w:p>
    <w:p w:rsidR="00E65201" w:rsidRPr="00B568B4" w:rsidRDefault="00597E50" w:rsidP="00397F91">
      <w:pPr>
        <w:pStyle w:val="ListParagraph"/>
        <w:numPr>
          <w:ilvl w:val="0"/>
          <w:numId w:val="7"/>
        </w:numPr>
        <w:tabs>
          <w:tab w:val="left" w:pos="851"/>
          <w:tab w:val="left" w:pos="5110"/>
          <w:tab w:val="left" w:pos="7570"/>
          <w:tab w:val="left" w:pos="10031"/>
          <w:tab w:val="left" w:pos="12492"/>
        </w:tabs>
        <w:spacing w:after="0" w:line="240" w:lineRule="auto"/>
        <w:ind w:left="851" w:hanging="425"/>
        <w:rPr>
          <w:rFonts w:ascii="Arial" w:hAnsi="Arial" w:cs="Arial"/>
        </w:rPr>
      </w:pPr>
      <w:r w:rsidRPr="00B568B4">
        <w:rPr>
          <w:rFonts w:ascii="Arial" w:hAnsi="Arial" w:cs="Arial"/>
        </w:rPr>
        <w:t>Recommendation 1: To focus and clarify the roles, by reducing the number of seats on the CCSG, particular</w:t>
      </w:r>
      <w:r w:rsidR="00E65201" w:rsidRPr="00B568B4">
        <w:rPr>
          <w:rFonts w:ascii="Arial" w:hAnsi="Arial" w:cs="Arial"/>
        </w:rPr>
        <w:t>ly reducing the number of duplicate seats; and</w:t>
      </w:r>
    </w:p>
    <w:p w:rsidR="00597E50" w:rsidRPr="00B568B4" w:rsidRDefault="00597E50" w:rsidP="00397F91">
      <w:pPr>
        <w:pStyle w:val="ListParagraph"/>
        <w:numPr>
          <w:ilvl w:val="0"/>
          <w:numId w:val="7"/>
        </w:numPr>
        <w:tabs>
          <w:tab w:val="left" w:pos="851"/>
          <w:tab w:val="left" w:pos="5110"/>
          <w:tab w:val="left" w:pos="7570"/>
          <w:tab w:val="left" w:pos="10031"/>
          <w:tab w:val="left" w:pos="12492"/>
        </w:tabs>
        <w:spacing w:after="0" w:line="240" w:lineRule="auto"/>
        <w:ind w:left="851" w:hanging="425"/>
        <w:rPr>
          <w:rFonts w:ascii="Arial" w:hAnsi="Arial" w:cs="Arial"/>
        </w:rPr>
      </w:pPr>
      <w:r w:rsidRPr="00B568B4">
        <w:rPr>
          <w:rFonts w:ascii="Arial" w:hAnsi="Arial" w:cs="Arial"/>
        </w:rPr>
        <w:t>Recommendation 2: To further focus and clarify the roles, and improve alignment with the Collaboration’s purposes, by identifying members’ ‘portfolios’ (as already being piloted).</w:t>
      </w:r>
      <w:r w:rsidR="00676A35" w:rsidRPr="00B568B4">
        <w:rPr>
          <w:rFonts w:ascii="Arial" w:hAnsi="Arial" w:cs="Arial"/>
        </w:rPr>
        <w:t xml:space="preserve"> The portfolio system identifies specific CCSG members to have oversight of the following areas:</w:t>
      </w:r>
    </w:p>
    <w:p w:rsidR="00676A35" w:rsidRPr="00B568B4" w:rsidRDefault="00676A35" w:rsidP="00676A35">
      <w:pPr>
        <w:tabs>
          <w:tab w:val="left" w:pos="2650"/>
          <w:tab w:val="left" w:pos="5110"/>
          <w:tab w:val="left" w:pos="7570"/>
          <w:tab w:val="left" w:pos="10031"/>
          <w:tab w:val="left" w:pos="12492"/>
        </w:tabs>
        <w:spacing w:after="0" w:line="240" w:lineRule="auto"/>
        <w:rPr>
          <w:rFonts w:ascii="Arial" w:hAnsi="Arial" w:cs="Arial"/>
        </w:rPr>
      </w:pPr>
    </w:p>
    <w:p w:rsidR="00676A35" w:rsidRPr="00B568B4" w:rsidRDefault="00676A35" w:rsidP="00E2153E">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Organisation and Administration</w:t>
      </w:r>
    </w:p>
    <w:p w:rsidR="00676A35" w:rsidRPr="00B568B4" w:rsidRDefault="00676A35" w:rsidP="00E2153E">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Finance and Sustainability</w:t>
      </w:r>
    </w:p>
    <w:p w:rsidR="00676A35" w:rsidRPr="00B568B4" w:rsidRDefault="00676A35" w:rsidP="00E2153E">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Products</w:t>
      </w:r>
    </w:p>
    <w:p w:rsidR="00676A35" w:rsidRPr="00B568B4" w:rsidRDefault="00676A35" w:rsidP="00E2153E">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External Partnerships</w:t>
      </w:r>
    </w:p>
    <w:p w:rsidR="00676A35" w:rsidRPr="00B568B4" w:rsidRDefault="00676A35" w:rsidP="00E2153E">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Knowledge Infrastructure</w:t>
      </w:r>
    </w:p>
    <w:p w:rsidR="00676A35" w:rsidRPr="00B568B4" w:rsidRDefault="00676A35" w:rsidP="00676A35">
      <w:pPr>
        <w:tabs>
          <w:tab w:val="left" w:pos="2650"/>
          <w:tab w:val="left" w:pos="5110"/>
          <w:tab w:val="left" w:pos="7570"/>
          <w:tab w:val="left" w:pos="10031"/>
          <w:tab w:val="left" w:pos="12492"/>
        </w:tabs>
        <w:spacing w:after="0" w:line="240" w:lineRule="auto"/>
        <w:rPr>
          <w:rFonts w:ascii="Arial" w:hAnsi="Arial" w:cs="Arial"/>
        </w:rPr>
      </w:pPr>
    </w:p>
    <w:p w:rsidR="00676A35" w:rsidRPr="00B568B4" w:rsidRDefault="00676A35" w:rsidP="00676A35">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These are further described in Annex A, but the intention is to both streamline CCSG business by increasing accountability, and to improve communication by identifying to those outside the CCSG whom to contact about specific issues.</w:t>
      </w:r>
    </w:p>
    <w:p w:rsidR="00C14FE5" w:rsidRPr="00B568B4" w:rsidRDefault="00C14FE5" w:rsidP="00C224B0">
      <w:pPr>
        <w:tabs>
          <w:tab w:val="left" w:pos="2650"/>
          <w:tab w:val="left" w:pos="5110"/>
          <w:tab w:val="left" w:pos="7570"/>
          <w:tab w:val="left" w:pos="10031"/>
          <w:tab w:val="left" w:pos="12492"/>
        </w:tabs>
        <w:spacing w:after="0" w:line="240" w:lineRule="auto"/>
        <w:rPr>
          <w:rFonts w:ascii="Arial" w:hAnsi="Arial" w:cs="Arial"/>
        </w:rPr>
      </w:pPr>
    </w:p>
    <w:p w:rsidR="00844AC8" w:rsidRPr="00B568B4" w:rsidRDefault="00597E50"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u w:val="single"/>
        </w:rPr>
        <w:t>For recommendation 1</w:t>
      </w:r>
      <w:r w:rsidRPr="00B568B4">
        <w:rPr>
          <w:rFonts w:ascii="Arial" w:hAnsi="Arial" w:cs="Arial"/>
        </w:rPr>
        <w:t>, t</w:t>
      </w:r>
      <w:r w:rsidR="00844AC8" w:rsidRPr="00B568B4">
        <w:rPr>
          <w:rFonts w:ascii="Arial" w:hAnsi="Arial" w:cs="Arial"/>
        </w:rPr>
        <w:t>hree options are presented for changing the current representation</w:t>
      </w:r>
      <w:r w:rsidR="00813FB6" w:rsidRPr="00B568B4">
        <w:rPr>
          <w:rFonts w:ascii="Arial" w:hAnsi="Arial" w:cs="Arial"/>
        </w:rPr>
        <w:t xml:space="preserve">: </w:t>
      </w:r>
      <w:r w:rsidR="00844AC8" w:rsidRPr="00B568B4">
        <w:rPr>
          <w:rFonts w:ascii="Arial" w:hAnsi="Arial" w:cs="Arial"/>
        </w:rPr>
        <w:t xml:space="preserve">two </w:t>
      </w:r>
      <w:r w:rsidRPr="00B568B4">
        <w:rPr>
          <w:rFonts w:ascii="Arial" w:hAnsi="Arial" w:cs="Arial"/>
        </w:rPr>
        <w:t>options for gradual change</w:t>
      </w:r>
      <w:r w:rsidR="00844AC8" w:rsidRPr="00B568B4">
        <w:rPr>
          <w:rFonts w:ascii="Arial" w:hAnsi="Arial" w:cs="Arial"/>
        </w:rPr>
        <w:t>, and the third</w:t>
      </w:r>
      <w:r w:rsidRPr="00B568B4">
        <w:rPr>
          <w:rFonts w:ascii="Arial" w:hAnsi="Arial" w:cs="Arial"/>
        </w:rPr>
        <w:t>,</w:t>
      </w:r>
      <w:r w:rsidR="00844AC8" w:rsidRPr="00B568B4">
        <w:rPr>
          <w:rFonts w:ascii="Arial" w:hAnsi="Arial" w:cs="Arial"/>
        </w:rPr>
        <w:t xml:space="preserve"> more radical suggestion that provides the possibility of other more radical – but potentially beneficial – changes.</w:t>
      </w:r>
      <w:r w:rsidR="00496ABF" w:rsidRPr="00B568B4">
        <w:rPr>
          <w:rFonts w:ascii="Arial" w:hAnsi="Arial" w:cs="Arial"/>
        </w:rPr>
        <w:t xml:space="preserve"> The changes are summarised in Table 1.</w:t>
      </w:r>
    </w:p>
    <w:p w:rsidR="00844AC8" w:rsidRPr="00B568B4" w:rsidRDefault="00844AC8" w:rsidP="00C224B0">
      <w:pPr>
        <w:tabs>
          <w:tab w:val="left" w:pos="2650"/>
          <w:tab w:val="left" w:pos="5110"/>
          <w:tab w:val="left" w:pos="7570"/>
          <w:tab w:val="left" w:pos="10031"/>
          <w:tab w:val="left" w:pos="12492"/>
        </w:tabs>
        <w:spacing w:after="0" w:line="240" w:lineRule="auto"/>
        <w:rPr>
          <w:rFonts w:ascii="Arial" w:hAnsi="Arial" w:cs="Arial"/>
        </w:rPr>
      </w:pPr>
    </w:p>
    <w:p w:rsidR="00844AC8" w:rsidRPr="00B568B4" w:rsidRDefault="00844AC8"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lastRenderedPageBreak/>
        <w:t xml:space="preserve">Options 1 and </w:t>
      </w:r>
      <w:r w:rsidR="00C30505" w:rsidRPr="00B568B4">
        <w:rPr>
          <w:rFonts w:ascii="Arial" w:hAnsi="Arial" w:cs="Arial"/>
        </w:rPr>
        <w:t xml:space="preserve">2 </w:t>
      </w:r>
      <w:r w:rsidR="00597E50" w:rsidRPr="00B568B4">
        <w:rPr>
          <w:rFonts w:ascii="Arial" w:hAnsi="Arial" w:cs="Arial"/>
        </w:rPr>
        <w:t xml:space="preserve">could be described as </w:t>
      </w:r>
      <w:r w:rsidRPr="00B568B4">
        <w:rPr>
          <w:rFonts w:ascii="Arial" w:hAnsi="Arial" w:cs="Arial"/>
        </w:rPr>
        <w:t>reflect</w:t>
      </w:r>
      <w:r w:rsidR="00597E50" w:rsidRPr="00B568B4">
        <w:rPr>
          <w:rFonts w:ascii="Arial" w:hAnsi="Arial" w:cs="Arial"/>
        </w:rPr>
        <w:t>ing</w:t>
      </w:r>
      <w:r w:rsidRPr="00B568B4">
        <w:rPr>
          <w:rFonts w:ascii="Arial" w:hAnsi="Arial" w:cs="Arial"/>
        </w:rPr>
        <w:t xml:space="preserve"> the shift, since the Collaboration was founded, from a </w:t>
      </w:r>
      <w:r w:rsidR="00C30505" w:rsidRPr="00B568B4">
        <w:rPr>
          <w:rFonts w:ascii="Arial" w:hAnsi="Arial" w:cs="Arial"/>
        </w:rPr>
        <w:t xml:space="preserve">range of entities with primarily </w:t>
      </w:r>
      <w:r w:rsidRPr="00B568B4">
        <w:rPr>
          <w:rFonts w:ascii="Arial" w:hAnsi="Arial" w:cs="Arial"/>
        </w:rPr>
        <w:t xml:space="preserve">geographical </w:t>
      </w:r>
      <w:r w:rsidR="00C30505" w:rsidRPr="00B568B4">
        <w:rPr>
          <w:rFonts w:ascii="Arial" w:hAnsi="Arial" w:cs="Arial"/>
        </w:rPr>
        <w:t xml:space="preserve">responsibilities, to a </w:t>
      </w:r>
      <w:r w:rsidRPr="00B568B4">
        <w:rPr>
          <w:rFonts w:ascii="Arial" w:hAnsi="Arial" w:cs="Arial"/>
        </w:rPr>
        <w:t xml:space="preserve">predominance of </w:t>
      </w:r>
      <w:r w:rsidR="00C30505" w:rsidRPr="00B568B4">
        <w:rPr>
          <w:rFonts w:ascii="Arial" w:hAnsi="Arial" w:cs="Arial"/>
        </w:rPr>
        <w:t>editorial groups (principally CRGs).</w:t>
      </w: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rPr>
      </w:pPr>
    </w:p>
    <w:p w:rsidR="00844AC8" w:rsidRPr="00B568B4" w:rsidRDefault="00844AC8" w:rsidP="00C224B0">
      <w:pPr>
        <w:tabs>
          <w:tab w:val="left" w:pos="2650"/>
          <w:tab w:val="left" w:pos="5110"/>
          <w:tab w:val="left" w:pos="7570"/>
          <w:tab w:val="left" w:pos="10031"/>
          <w:tab w:val="left" w:pos="12492"/>
        </w:tabs>
        <w:spacing w:after="0" w:line="240" w:lineRule="auto"/>
        <w:rPr>
          <w:rFonts w:ascii="Arial" w:hAnsi="Arial" w:cs="Arial"/>
          <w:u w:val="single"/>
        </w:rPr>
      </w:pPr>
      <w:r w:rsidRPr="00B568B4">
        <w:rPr>
          <w:rFonts w:ascii="Arial" w:hAnsi="Arial" w:cs="Arial"/>
          <w:u w:val="single"/>
        </w:rPr>
        <w:t>Option 1:</w:t>
      </w:r>
      <w:r w:rsidR="00C30505" w:rsidRPr="00B568B4">
        <w:rPr>
          <w:rFonts w:ascii="Arial" w:hAnsi="Arial" w:cs="Arial"/>
          <w:u w:val="single"/>
        </w:rPr>
        <w:t xml:space="preserve"> slight change</w:t>
      </w:r>
      <w:r w:rsidRPr="00B568B4">
        <w:rPr>
          <w:rFonts w:ascii="Arial" w:hAnsi="Arial" w:cs="Arial"/>
          <w:u w:val="single"/>
        </w:rPr>
        <w:t xml:space="preserve"> </w:t>
      </w:r>
    </w:p>
    <w:p w:rsidR="00844AC8" w:rsidRPr="00B568B4" w:rsidRDefault="00844AC8" w:rsidP="00C224B0">
      <w:pPr>
        <w:tabs>
          <w:tab w:val="left" w:pos="2650"/>
          <w:tab w:val="left" w:pos="5110"/>
          <w:tab w:val="left" w:pos="7570"/>
          <w:tab w:val="left" w:pos="10031"/>
          <w:tab w:val="left" w:pos="12492"/>
        </w:tabs>
        <w:spacing w:after="0" w:line="240" w:lineRule="auto"/>
        <w:rPr>
          <w:rFonts w:ascii="Arial" w:hAnsi="Arial" w:cs="Arial"/>
        </w:rPr>
      </w:pPr>
    </w:p>
    <w:p w:rsidR="00844AC8" w:rsidRPr="00B568B4" w:rsidRDefault="00844AC8"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This option sees a reduction in the number of Centre r</w:t>
      </w:r>
      <w:r w:rsidR="00C30505" w:rsidRPr="00B568B4">
        <w:rPr>
          <w:rFonts w:ascii="Arial" w:hAnsi="Arial" w:cs="Arial"/>
        </w:rPr>
        <w:t xml:space="preserve">epresentatives from four to two. It maintains the relatively recent addition of two </w:t>
      </w:r>
      <w:r w:rsidR="00DE6435" w:rsidRPr="00B568B4">
        <w:rPr>
          <w:rFonts w:ascii="Arial" w:hAnsi="Arial" w:cs="Arial"/>
        </w:rPr>
        <w:t xml:space="preserve">named </w:t>
      </w:r>
      <w:r w:rsidR="00C30505" w:rsidRPr="00B568B4">
        <w:rPr>
          <w:rFonts w:ascii="Arial" w:hAnsi="Arial" w:cs="Arial"/>
        </w:rPr>
        <w:t xml:space="preserve">CRG </w:t>
      </w:r>
      <w:r w:rsidR="00DE6435" w:rsidRPr="00B568B4">
        <w:rPr>
          <w:rFonts w:ascii="Arial" w:hAnsi="Arial" w:cs="Arial"/>
        </w:rPr>
        <w:t xml:space="preserve">posts </w:t>
      </w:r>
      <w:r w:rsidR="00C30505" w:rsidRPr="00B568B4">
        <w:rPr>
          <w:rFonts w:ascii="Arial" w:hAnsi="Arial" w:cs="Arial"/>
        </w:rPr>
        <w:t xml:space="preserve">(ME and TSC representatives) but sees the loss of the imperfectly understood CRG </w:t>
      </w:r>
      <w:r w:rsidR="00813FB6" w:rsidRPr="00B568B4">
        <w:rPr>
          <w:rFonts w:ascii="Arial" w:hAnsi="Arial" w:cs="Arial"/>
        </w:rPr>
        <w:t>‘</w:t>
      </w:r>
      <w:r w:rsidR="00C30505" w:rsidRPr="00B568B4">
        <w:rPr>
          <w:rFonts w:ascii="Arial" w:hAnsi="Arial" w:cs="Arial"/>
        </w:rPr>
        <w:t>At Large</w:t>
      </w:r>
      <w:r w:rsidR="00813FB6" w:rsidRPr="00B568B4">
        <w:rPr>
          <w:rFonts w:ascii="Arial" w:hAnsi="Arial" w:cs="Arial"/>
        </w:rPr>
        <w:t>’</w:t>
      </w:r>
      <w:r w:rsidR="00C30505" w:rsidRPr="00B568B4">
        <w:rPr>
          <w:rFonts w:ascii="Arial" w:hAnsi="Arial" w:cs="Arial"/>
        </w:rPr>
        <w:t xml:space="preserve"> positions. The overall change to CCSG numbers is a fall from 17 to 13.</w:t>
      </w:r>
    </w:p>
    <w:p w:rsidR="00E65201" w:rsidRPr="00B568B4" w:rsidRDefault="00E65201" w:rsidP="00C224B0">
      <w:pPr>
        <w:tabs>
          <w:tab w:val="left" w:pos="2650"/>
          <w:tab w:val="left" w:pos="5110"/>
          <w:tab w:val="left" w:pos="7570"/>
          <w:tab w:val="left" w:pos="10031"/>
          <w:tab w:val="left" w:pos="12492"/>
        </w:tabs>
        <w:spacing w:after="0" w:line="240" w:lineRule="auto"/>
        <w:rPr>
          <w:rFonts w:ascii="Arial" w:hAnsi="Arial" w:cs="Arial"/>
        </w:rPr>
      </w:pPr>
    </w:p>
    <w:p w:rsidR="00320D73" w:rsidRPr="00B568B4" w:rsidRDefault="00320D73" w:rsidP="00397F91">
      <w:pPr>
        <w:numPr>
          <w:ilvl w:val="0"/>
          <w:numId w:val="19"/>
        </w:numPr>
        <w:tabs>
          <w:tab w:val="left" w:pos="851"/>
          <w:tab w:val="left" w:pos="7570"/>
          <w:tab w:val="left" w:pos="10031"/>
          <w:tab w:val="left" w:pos="12492"/>
        </w:tabs>
        <w:spacing w:after="0" w:line="240" w:lineRule="auto"/>
        <w:ind w:left="714" w:hanging="357"/>
        <w:rPr>
          <w:rFonts w:ascii="Arial" w:hAnsi="Arial" w:cs="Arial"/>
        </w:rPr>
      </w:pPr>
      <w:r w:rsidRPr="00B568B4">
        <w:rPr>
          <w:rFonts w:ascii="Arial" w:hAnsi="Arial" w:cs="Arial"/>
        </w:rPr>
        <w:t>Option 1 risks and benefits:</w:t>
      </w:r>
    </w:p>
    <w:p w:rsidR="00320D73" w:rsidRPr="00B568B4" w:rsidRDefault="00320D73" w:rsidP="00C224B0">
      <w:pPr>
        <w:tabs>
          <w:tab w:val="left" w:pos="2650"/>
          <w:tab w:val="left" w:pos="5110"/>
          <w:tab w:val="left" w:pos="7570"/>
          <w:tab w:val="left" w:pos="10031"/>
          <w:tab w:val="left" w:pos="12492"/>
        </w:tabs>
        <w:spacing w:after="0" w:line="240" w:lineRule="auto"/>
        <w:rPr>
          <w:rFonts w:ascii="Arial" w:hAnsi="Arial" w:cs="Arial"/>
        </w:rPr>
      </w:pPr>
    </w:p>
    <w:p w:rsidR="00E65201" w:rsidRPr="00B568B4" w:rsidRDefault="00E65201" w:rsidP="00FE21C3">
      <w:pPr>
        <w:pStyle w:val="ListParagraph"/>
        <w:numPr>
          <w:ilvl w:val="3"/>
          <w:numId w:val="21"/>
        </w:numPr>
        <w:tabs>
          <w:tab w:val="left" w:pos="1276"/>
          <w:tab w:val="left" w:pos="5110"/>
          <w:tab w:val="left" w:pos="7570"/>
          <w:tab w:val="left" w:pos="10031"/>
          <w:tab w:val="left" w:pos="12492"/>
        </w:tabs>
        <w:spacing w:after="0" w:line="240" w:lineRule="auto"/>
        <w:ind w:left="993" w:hanging="142"/>
        <w:rPr>
          <w:rFonts w:ascii="Arial" w:hAnsi="Arial" w:cs="Arial"/>
        </w:rPr>
      </w:pPr>
      <w:r w:rsidRPr="00B568B4">
        <w:rPr>
          <w:rFonts w:ascii="Arial" w:hAnsi="Arial" w:cs="Arial"/>
        </w:rPr>
        <w:t xml:space="preserve">Centre representatives tend to be in paid positions undertaking Cochrane work. The risk is that reducing the number of Centre representatives potentially reduces the pool of available people to take forward CCSG decisions. </w:t>
      </w:r>
    </w:p>
    <w:p w:rsidR="004F0659" w:rsidRPr="00B568B4" w:rsidRDefault="004F0659" w:rsidP="00FE21C3">
      <w:pPr>
        <w:pStyle w:val="ListParagraph"/>
        <w:numPr>
          <w:ilvl w:val="3"/>
          <w:numId w:val="21"/>
        </w:numPr>
        <w:tabs>
          <w:tab w:val="left" w:pos="1276"/>
          <w:tab w:val="left" w:pos="5110"/>
          <w:tab w:val="left" w:pos="7570"/>
          <w:tab w:val="left" w:pos="10031"/>
          <w:tab w:val="left" w:pos="12492"/>
        </w:tabs>
        <w:spacing w:after="0" w:line="240" w:lineRule="auto"/>
        <w:ind w:left="993" w:hanging="142"/>
        <w:rPr>
          <w:rFonts w:ascii="Arial" w:hAnsi="Arial" w:cs="Arial"/>
        </w:rPr>
      </w:pPr>
      <w:r w:rsidRPr="00B568B4">
        <w:rPr>
          <w:rFonts w:ascii="Arial" w:hAnsi="Arial" w:cs="Arial"/>
        </w:rPr>
        <w:t>A reduction in Centre numbers risks reducing opportunities for geographic and linguistic representation, as Centres tend to be more representative of these issues than CRGs.</w:t>
      </w:r>
    </w:p>
    <w:p w:rsidR="00320D73" w:rsidRPr="00B568B4" w:rsidRDefault="00320D73" w:rsidP="00FE21C3">
      <w:pPr>
        <w:pStyle w:val="ListParagraph"/>
        <w:numPr>
          <w:ilvl w:val="3"/>
          <w:numId w:val="21"/>
        </w:numPr>
        <w:tabs>
          <w:tab w:val="left" w:pos="1276"/>
          <w:tab w:val="left" w:pos="5110"/>
          <w:tab w:val="left" w:pos="7570"/>
          <w:tab w:val="left" w:pos="10031"/>
          <w:tab w:val="left" w:pos="12492"/>
        </w:tabs>
        <w:spacing w:after="0" w:line="240" w:lineRule="auto"/>
        <w:ind w:left="993" w:hanging="142"/>
        <w:rPr>
          <w:rFonts w:ascii="Arial" w:hAnsi="Arial" w:cs="Arial"/>
        </w:rPr>
      </w:pPr>
      <w:r w:rsidRPr="00B568B4">
        <w:rPr>
          <w:rFonts w:ascii="Arial" w:hAnsi="Arial" w:cs="Arial"/>
        </w:rPr>
        <w:t>Thirteen is still a large group for effective decision making.</w:t>
      </w:r>
    </w:p>
    <w:p w:rsidR="00320D73" w:rsidRPr="00B568B4" w:rsidRDefault="00320D73" w:rsidP="00FE21C3">
      <w:pPr>
        <w:pStyle w:val="ListParagraph"/>
        <w:numPr>
          <w:ilvl w:val="3"/>
          <w:numId w:val="21"/>
        </w:numPr>
        <w:tabs>
          <w:tab w:val="left" w:pos="1276"/>
          <w:tab w:val="left" w:pos="5110"/>
          <w:tab w:val="left" w:pos="7570"/>
          <w:tab w:val="left" w:pos="10031"/>
          <w:tab w:val="left" w:pos="12492"/>
        </w:tabs>
        <w:spacing w:after="0" w:line="240" w:lineRule="auto"/>
        <w:ind w:left="993" w:hanging="142"/>
        <w:rPr>
          <w:rFonts w:ascii="Arial" w:hAnsi="Arial" w:cs="Arial"/>
        </w:rPr>
      </w:pPr>
      <w:r w:rsidRPr="00B568B4">
        <w:rPr>
          <w:rFonts w:ascii="Arial" w:hAnsi="Arial" w:cs="Arial"/>
        </w:rPr>
        <w:t>Thirteen provides many hands to share the work.</w:t>
      </w:r>
    </w:p>
    <w:p w:rsidR="00C30505" w:rsidRPr="00B568B4" w:rsidRDefault="00C30505" w:rsidP="00C224B0">
      <w:pPr>
        <w:tabs>
          <w:tab w:val="left" w:pos="2650"/>
          <w:tab w:val="left" w:pos="5110"/>
          <w:tab w:val="left" w:pos="7570"/>
          <w:tab w:val="left" w:pos="10031"/>
          <w:tab w:val="left" w:pos="12492"/>
        </w:tabs>
        <w:spacing w:after="0" w:line="240" w:lineRule="auto"/>
        <w:rPr>
          <w:rFonts w:ascii="Arial" w:hAnsi="Arial" w:cs="Arial"/>
        </w:rPr>
      </w:pPr>
    </w:p>
    <w:p w:rsidR="00C30505" w:rsidRPr="00B568B4" w:rsidRDefault="00C30505" w:rsidP="00C224B0">
      <w:pPr>
        <w:tabs>
          <w:tab w:val="left" w:pos="2650"/>
          <w:tab w:val="left" w:pos="5110"/>
          <w:tab w:val="left" w:pos="7570"/>
          <w:tab w:val="left" w:pos="10031"/>
          <w:tab w:val="left" w:pos="12492"/>
        </w:tabs>
        <w:spacing w:after="0" w:line="240" w:lineRule="auto"/>
        <w:rPr>
          <w:rFonts w:ascii="Arial" w:hAnsi="Arial" w:cs="Arial"/>
          <w:u w:val="single"/>
        </w:rPr>
      </w:pPr>
      <w:r w:rsidRPr="00B568B4">
        <w:rPr>
          <w:rFonts w:ascii="Arial" w:hAnsi="Arial" w:cs="Arial"/>
          <w:u w:val="single"/>
        </w:rPr>
        <w:t>Option 2: ‘slight change plus’</w:t>
      </w: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rPr>
      </w:pPr>
    </w:p>
    <w:p w:rsidR="00C30505" w:rsidRPr="00B568B4" w:rsidRDefault="00C30505"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This option is similar to the first, but in addition sees the reduction of a further Centre representative, and the loss of one of the two Consumer representatives.</w:t>
      </w:r>
      <w:r w:rsidR="00C80C68" w:rsidRPr="00B568B4">
        <w:rPr>
          <w:rFonts w:ascii="Arial" w:hAnsi="Arial" w:cs="Arial"/>
        </w:rPr>
        <w:t xml:space="preserve"> A further change could see the loss of the TSC position, now that this role is being given an operational locus within the Cochrane Editorial Unit. The overall change to CCSG numbers is a reduction to 10 or 9.</w:t>
      </w:r>
    </w:p>
    <w:p w:rsidR="00320D73" w:rsidRPr="00B568B4" w:rsidRDefault="00320D73" w:rsidP="00320D73">
      <w:pPr>
        <w:tabs>
          <w:tab w:val="left" w:pos="2650"/>
          <w:tab w:val="left" w:pos="5110"/>
          <w:tab w:val="left" w:pos="7570"/>
          <w:tab w:val="left" w:pos="10031"/>
          <w:tab w:val="left" w:pos="12492"/>
        </w:tabs>
        <w:spacing w:after="0" w:line="240" w:lineRule="auto"/>
        <w:ind w:left="357" w:firstLineChars="777" w:firstLine="1709"/>
        <w:rPr>
          <w:rFonts w:ascii="Arial" w:hAnsi="Arial" w:cs="Arial"/>
        </w:rPr>
      </w:pPr>
    </w:p>
    <w:p w:rsidR="00320D73" w:rsidRPr="00B568B4" w:rsidRDefault="00320D73" w:rsidP="00320D73">
      <w:pPr>
        <w:numPr>
          <w:ilvl w:val="0"/>
          <w:numId w:val="14"/>
        </w:numPr>
        <w:tabs>
          <w:tab w:val="left" w:pos="851"/>
          <w:tab w:val="left" w:pos="5110"/>
          <w:tab w:val="left" w:pos="7570"/>
          <w:tab w:val="left" w:pos="10031"/>
          <w:tab w:val="left" w:pos="12492"/>
        </w:tabs>
        <w:spacing w:after="0" w:line="240" w:lineRule="auto"/>
        <w:ind w:left="1281" w:hanging="924"/>
        <w:rPr>
          <w:rFonts w:ascii="Arial" w:hAnsi="Arial" w:cs="Arial"/>
        </w:rPr>
      </w:pPr>
      <w:r w:rsidRPr="00B568B4">
        <w:rPr>
          <w:rFonts w:ascii="Arial" w:hAnsi="Arial" w:cs="Arial"/>
        </w:rPr>
        <w:t>Option 2 risks</w:t>
      </w:r>
      <w:r w:rsidR="00FE21C3" w:rsidRPr="00B568B4">
        <w:rPr>
          <w:rFonts w:ascii="Arial" w:hAnsi="Arial" w:cs="Arial"/>
        </w:rPr>
        <w:t xml:space="preserve"> and benefits</w:t>
      </w:r>
      <w:r w:rsidRPr="00B568B4">
        <w:rPr>
          <w:rFonts w:ascii="Arial" w:hAnsi="Arial" w:cs="Arial"/>
        </w:rPr>
        <w:t>:</w:t>
      </w:r>
    </w:p>
    <w:p w:rsidR="00320D73" w:rsidRPr="00B568B4" w:rsidRDefault="00320D73" w:rsidP="00320D73">
      <w:pPr>
        <w:tabs>
          <w:tab w:val="left" w:pos="851"/>
          <w:tab w:val="left" w:pos="5110"/>
          <w:tab w:val="left" w:pos="7570"/>
          <w:tab w:val="left" w:pos="10031"/>
          <w:tab w:val="left" w:pos="12492"/>
        </w:tabs>
        <w:spacing w:after="0" w:line="240" w:lineRule="auto"/>
        <w:ind w:left="357"/>
        <w:rPr>
          <w:rFonts w:ascii="Arial" w:hAnsi="Arial" w:cs="Arial"/>
        </w:rPr>
      </w:pPr>
    </w:p>
    <w:p w:rsidR="00E65201" w:rsidRPr="00B568B4" w:rsidRDefault="00E65201" w:rsidP="00320D73">
      <w:pPr>
        <w:pStyle w:val="ListParagraph"/>
        <w:numPr>
          <w:ilvl w:val="0"/>
          <w:numId w:val="17"/>
        </w:numPr>
        <w:tabs>
          <w:tab w:val="left" w:pos="1276"/>
          <w:tab w:val="left" w:pos="5110"/>
          <w:tab w:val="left" w:pos="7570"/>
          <w:tab w:val="left" w:pos="10031"/>
          <w:tab w:val="left" w:pos="12492"/>
        </w:tabs>
        <w:spacing w:after="0" w:line="240" w:lineRule="auto"/>
        <w:ind w:left="794" w:firstLine="0"/>
        <w:rPr>
          <w:rFonts w:ascii="Arial" w:hAnsi="Arial" w:cs="Arial"/>
        </w:rPr>
      </w:pPr>
      <w:r w:rsidRPr="00B568B4">
        <w:rPr>
          <w:rFonts w:ascii="Arial" w:hAnsi="Arial" w:cs="Arial"/>
        </w:rPr>
        <w:t>Further reducing the number of Centre representatives risks further reducing the pool of available people. It also potentially restricts our options for improving regional and linguistic representation.</w:t>
      </w:r>
    </w:p>
    <w:p w:rsidR="00E65201" w:rsidRPr="00B568B4" w:rsidRDefault="006F4330" w:rsidP="00320D73">
      <w:pPr>
        <w:pStyle w:val="ListParagraph"/>
        <w:numPr>
          <w:ilvl w:val="0"/>
          <w:numId w:val="17"/>
        </w:numPr>
        <w:tabs>
          <w:tab w:val="left" w:pos="1276"/>
          <w:tab w:val="left" w:pos="5110"/>
          <w:tab w:val="left" w:pos="7570"/>
          <w:tab w:val="left" w:pos="10031"/>
          <w:tab w:val="left" w:pos="12492"/>
        </w:tabs>
        <w:spacing w:after="0" w:line="240" w:lineRule="auto"/>
        <w:ind w:left="794" w:firstLine="0"/>
        <w:rPr>
          <w:rFonts w:ascii="Arial" w:hAnsi="Arial" w:cs="Arial"/>
        </w:rPr>
      </w:pPr>
      <w:r w:rsidRPr="00B568B4">
        <w:rPr>
          <w:rFonts w:ascii="Arial" w:hAnsi="Arial" w:cs="Arial"/>
        </w:rPr>
        <w:t>Centres represent diverse populations and regions, with wide-ranging priorities that benefit from a diversity of perspectives.</w:t>
      </w:r>
    </w:p>
    <w:p w:rsidR="006F4330" w:rsidRPr="00B568B4" w:rsidRDefault="006F4330" w:rsidP="00320D73">
      <w:pPr>
        <w:pStyle w:val="ListParagraph"/>
        <w:numPr>
          <w:ilvl w:val="0"/>
          <w:numId w:val="17"/>
        </w:numPr>
        <w:tabs>
          <w:tab w:val="left" w:pos="1276"/>
          <w:tab w:val="left" w:pos="5110"/>
          <w:tab w:val="left" w:pos="7570"/>
          <w:tab w:val="left" w:pos="10031"/>
          <w:tab w:val="left" w:pos="12492"/>
        </w:tabs>
        <w:spacing w:after="0" w:line="240" w:lineRule="auto"/>
        <w:ind w:left="794" w:firstLine="0"/>
        <w:rPr>
          <w:rFonts w:ascii="Arial" w:hAnsi="Arial" w:cs="Arial"/>
        </w:rPr>
      </w:pPr>
      <w:r w:rsidRPr="00B568B4">
        <w:rPr>
          <w:rFonts w:ascii="Arial" w:hAnsi="Arial" w:cs="Arial"/>
        </w:rPr>
        <w:t>Given the current significant investment in studies registers, losing the TSC position may be a premature move.</w:t>
      </w:r>
    </w:p>
    <w:p w:rsidR="006F4330" w:rsidRPr="00B568B4" w:rsidRDefault="006F4330" w:rsidP="00320D73">
      <w:pPr>
        <w:pStyle w:val="ListParagraph"/>
        <w:numPr>
          <w:ilvl w:val="0"/>
          <w:numId w:val="17"/>
        </w:numPr>
        <w:tabs>
          <w:tab w:val="left" w:pos="1276"/>
          <w:tab w:val="left" w:pos="5110"/>
          <w:tab w:val="left" w:pos="7570"/>
          <w:tab w:val="left" w:pos="10031"/>
          <w:tab w:val="left" w:pos="12492"/>
        </w:tabs>
        <w:spacing w:after="0" w:line="240" w:lineRule="auto"/>
        <w:ind w:left="794" w:firstLine="0"/>
        <w:rPr>
          <w:rFonts w:ascii="Arial" w:hAnsi="Arial" w:cs="Arial"/>
        </w:rPr>
      </w:pPr>
      <w:r w:rsidRPr="00B568B4">
        <w:rPr>
          <w:rFonts w:ascii="Arial" w:hAnsi="Arial" w:cs="Arial"/>
        </w:rPr>
        <w:t>Consideration of the second consumer position should await the strategic discussion in Auckland.</w:t>
      </w:r>
    </w:p>
    <w:p w:rsidR="00FE21C3" w:rsidRPr="00B568B4" w:rsidRDefault="00FE21C3" w:rsidP="00320D73">
      <w:pPr>
        <w:pStyle w:val="ListParagraph"/>
        <w:numPr>
          <w:ilvl w:val="0"/>
          <w:numId w:val="17"/>
        </w:numPr>
        <w:tabs>
          <w:tab w:val="left" w:pos="1276"/>
          <w:tab w:val="left" w:pos="5110"/>
          <w:tab w:val="left" w:pos="7570"/>
          <w:tab w:val="left" w:pos="10031"/>
          <w:tab w:val="left" w:pos="12492"/>
        </w:tabs>
        <w:spacing w:after="0" w:line="240" w:lineRule="auto"/>
        <w:ind w:left="794" w:firstLine="0"/>
        <w:rPr>
          <w:rFonts w:ascii="Arial" w:hAnsi="Arial" w:cs="Arial"/>
        </w:rPr>
      </w:pPr>
      <w:r w:rsidRPr="00B568B4">
        <w:rPr>
          <w:rFonts w:ascii="Arial" w:hAnsi="Arial" w:cs="Arial"/>
        </w:rPr>
        <w:t xml:space="preserve">The proposed number of members is a more manageable number for </w:t>
      </w:r>
      <w:r w:rsidR="004F0659" w:rsidRPr="00B568B4">
        <w:rPr>
          <w:rFonts w:ascii="Arial" w:hAnsi="Arial" w:cs="Arial"/>
        </w:rPr>
        <w:t>effective group dynamics.</w:t>
      </w:r>
    </w:p>
    <w:p w:rsidR="004F0659" w:rsidRPr="00B568B4" w:rsidRDefault="004F0659" w:rsidP="004F0659">
      <w:pPr>
        <w:pStyle w:val="ListParagraph"/>
        <w:tabs>
          <w:tab w:val="left" w:pos="1276"/>
          <w:tab w:val="left" w:pos="5110"/>
          <w:tab w:val="left" w:pos="7570"/>
          <w:tab w:val="left" w:pos="10031"/>
          <w:tab w:val="left" w:pos="12492"/>
        </w:tabs>
        <w:spacing w:after="0" w:line="240" w:lineRule="auto"/>
        <w:ind w:left="794"/>
        <w:rPr>
          <w:rFonts w:ascii="Arial" w:hAnsi="Arial" w:cs="Arial"/>
        </w:rPr>
      </w:pPr>
    </w:p>
    <w:p w:rsidR="00EE0CCB" w:rsidRPr="00B568B4" w:rsidRDefault="00EE0CCB" w:rsidP="00320D73">
      <w:pPr>
        <w:tabs>
          <w:tab w:val="left" w:pos="2650"/>
          <w:tab w:val="left" w:pos="5110"/>
          <w:tab w:val="left" w:pos="7570"/>
          <w:tab w:val="left" w:pos="10031"/>
          <w:tab w:val="left" w:pos="12492"/>
        </w:tabs>
        <w:spacing w:after="0" w:line="240" w:lineRule="auto"/>
        <w:ind w:left="363"/>
        <w:rPr>
          <w:rFonts w:ascii="Arial" w:hAnsi="Arial" w:cs="Arial"/>
        </w:rPr>
      </w:pP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u w:val="single"/>
        </w:rPr>
      </w:pPr>
      <w:r w:rsidRPr="00B568B4">
        <w:rPr>
          <w:rFonts w:ascii="Arial" w:hAnsi="Arial" w:cs="Arial"/>
          <w:u w:val="single"/>
        </w:rPr>
        <w:t>Option 3: Radical option</w:t>
      </w: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rPr>
      </w:pP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 xml:space="preserve">Under the radical option, the size of the Steering Group is reduced to </w:t>
      </w:r>
      <w:r w:rsidR="00C80C68" w:rsidRPr="00B568B4">
        <w:rPr>
          <w:rFonts w:ascii="Arial" w:hAnsi="Arial" w:cs="Arial"/>
        </w:rPr>
        <w:t>just seven positions.</w:t>
      </w:r>
      <w:r w:rsidRPr="00B568B4">
        <w:rPr>
          <w:rFonts w:ascii="Arial" w:hAnsi="Arial" w:cs="Arial"/>
        </w:rPr>
        <w:t xml:space="preserve"> </w:t>
      </w:r>
      <w:r w:rsidR="00C80C68" w:rsidRPr="00B568B4">
        <w:rPr>
          <w:rFonts w:ascii="Arial" w:hAnsi="Arial" w:cs="Arial"/>
        </w:rPr>
        <w:t xml:space="preserve">By doing this, a range of further </w:t>
      </w:r>
      <w:r w:rsidR="00981F1A" w:rsidRPr="00B568B4">
        <w:rPr>
          <w:rFonts w:ascii="Arial" w:hAnsi="Arial" w:cs="Arial"/>
        </w:rPr>
        <w:t xml:space="preserve">advantageous </w:t>
      </w:r>
      <w:r w:rsidR="00C80C68" w:rsidRPr="00B568B4">
        <w:rPr>
          <w:rFonts w:ascii="Arial" w:hAnsi="Arial" w:cs="Arial"/>
        </w:rPr>
        <w:t>options become possible</w:t>
      </w:r>
      <w:r w:rsidRPr="00B568B4">
        <w:rPr>
          <w:rFonts w:ascii="Arial" w:hAnsi="Arial" w:cs="Arial"/>
        </w:rPr>
        <w:t>:</w:t>
      </w:r>
    </w:p>
    <w:p w:rsidR="00626D90" w:rsidRPr="00B568B4" w:rsidRDefault="00626D90" w:rsidP="00C224B0">
      <w:pPr>
        <w:tabs>
          <w:tab w:val="left" w:pos="2650"/>
          <w:tab w:val="left" w:pos="5110"/>
          <w:tab w:val="left" w:pos="7570"/>
          <w:tab w:val="left" w:pos="10031"/>
          <w:tab w:val="left" w:pos="12492"/>
        </w:tabs>
        <w:spacing w:after="0" w:line="240" w:lineRule="auto"/>
        <w:rPr>
          <w:rFonts w:ascii="Arial" w:hAnsi="Arial" w:cs="Arial"/>
        </w:rPr>
      </w:pPr>
    </w:p>
    <w:p w:rsidR="00626D90" w:rsidRPr="00B568B4" w:rsidRDefault="00626D90" w:rsidP="00626D90">
      <w:pPr>
        <w:numPr>
          <w:ilvl w:val="0"/>
          <w:numId w:val="14"/>
        </w:numPr>
        <w:tabs>
          <w:tab w:val="left" w:pos="851"/>
          <w:tab w:val="left" w:pos="5110"/>
          <w:tab w:val="left" w:pos="7570"/>
          <w:tab w:val="left" w:pos="10031"/>
          <w:tab w:val="left" w:pos="12492"/>
        </w:tabs>
        <w:spacing w:after="0" w:line="240" w:lineRule="auto"/>
        <w:ind w:left="1281" w:hanging="924"/>
        <w:rPr>
          <w:rFonts w:ascii="Arial" w:hAnsi="Arial" w:cs="Arial"/>
        </w:rPr>
      </w:pPr>
      <w:r w:rsidRPr="00B568B4">
        <w:rPr>
          <w:rFonts w:ascii="Arial" w:hAnsi="Arial" w:cs="Arial"/>
        </w:rPr>
        <w:t>Option 3 risks and benefits:</w:t>
      </w:r>
    </w:p>
    <w:p w:rsidR="00EE0CCB" w:rsidRPr="00B568B4" w:rsidRDefault="00EE0CCB" w:rsidP="00C224B0">
      <w:pPr>
        <w:tabs>
          <w:tab w:val="left" w:pos="2650"/>
          <w:tab w:val="left" w:pos="5110"/>
          <w:tab w:val="left" w:pos="7570"/>
          <w:tab w:val="left" w:pos="10031"/>
          <w:tab w:val="left" w:pos="12492"/>
        </w:tabs>
        <w:spacing w:after="0" w:line="240" w:lineRule="auto"/>
        <w:rPr>
          <w:rFonts w:ascii="Arial" w:hAnsi="Arial" w:cs="Arial"/>
        </w:rPr>
      </w:pPr>
    </w:p>
    <w:p w:rsidR="00C80C68" w:rsidRPr="00B568B4" w:rsidRDefault="00C80C68"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t xml:space="preserve">The size of the group makes it </w:t>
      </w:r>
      <w:r w:rsidR="00981F1A" w:rsidRPr="00B568B4">
        <w:rPr>
          <w:rFonts w:ascii="Arial" w:hAnsi="Arial" w:cs="Arial"/>
        </w:rPr>
        <w:t>feasible</w:t>
      </w:r>
      <w:r w:rsidRPr="00B568B4">
        <w:rPr>
          <w:rFonts w:ascii="Arial" w:hAnsi="Arial" w:cs="Arial"/>
        </w:rPr>
        <w:t xml:space="preserve"> to con</w:t>
      </w:r>
      <w:r w:rsidR="00626D90" w:rsidRPr="00B568B4">
        <w:rPr>
          <w:rFonts w:ascii="Arial" w:hAnsi="Arial" w:cs="Arial"/>
        </w:rPr>
        <w:t>duct business by teleconference …</w:t>
      </w:r>
    </w:p>
    <w:p w:rsidR="00626D90" w:rsidRPr="00B568B4" w:rsidRDefault="00626D90"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t>… but how practical are teleconferences regarding work/life balance and time zone issues with such a diverse international group?</w:t>
      </w:r>
    </w:p>
    <w:p w:rsidR="00EE0CCB" w:rsidRPr="00B568B4" w:rsidRDefault="00C80C68"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lastRenderedPageBreak/>
        <w:t>R</w:t>
      </w:r>
      <w:r w:rsidR="00EE0CCB" w:rsidRPr="00B568B4">
        <w:rPr>
          <w:rFonts w:ascii="Arial" w:hAnsi="Arial" w:cs="Arial"/>
        </w:rPr>
        <w:t xml:space="preserve">emoving the requirement </w:t>
      </w:r>
      <w:r w:rsidRPr="00B568B4">
        <w:rPr>
          <w:rFonts w:ascii="Arial" w:hAnsi="Arial" w:cs="Arial"/>
        </w:rPr>
        <w:t xml:space="preserve">for major items of business </w:t>
      </w:r>
      <w:r w:rsidR="00EE0CCB" w:rsidRPr="00B568B4">
        <w:rPr>
          <w:rFonts w:ascii="Arial" w:hAnsi="Arial" w:cs="Arial"/>
        </w:rPr>
        <w:t>to wait until</w:t>
      </w:r>
      <w:r w:rsidR="003B5762" w:rsidRPr="00B568B4">
        <w:rPr>
          <w:rFonts w:ascii="Arial" w:hAnsi="Arial" w:cs="Arial"/>
        </w:rPr>
        <w:t xml:space="preserve"> face-to-face</w:t>
      </w:r>
      <w:r w:rsidRPr="00B568B4">
        <w:rPr>
          <w:rFonts w:ascii="Arial" w:hAnsi="Arial" w:cs="Arial"/>
        </w:rPr>
        <w:t xml:space="preserve"> Steering Group meeting</w:t>
      </w:r>
      <w:r w:rsidR="003B5762" w:rsidRPr="00B568B4">
        <w:rPr>
          <w:rFonts w:ascii="Arial" w:hAnsi="Arial" w:cs="Arial"/>
        </w:rPr>
        <w:t>s</w:t>
      </w:r>
      <w:r w:rsidRPr="00B568B4">
        <w:rPr>
          <w:rFonts w:ascii="Arial" w:hAnsi="Arial" w:cs="Arial"/>
        </w:rPr>
        <w:t xml:space="preserve"> </w:t>
      </w:r>
      <w:r w:rsidR="00981F1A" w:rsidRPr="00B568B4">
        <w:rPr>
          <w:rFonts w:ascii="Arial" w:hAnsi="Arial" w:cs="Arial"/>
        </w:rPr>
        <w:t>enables them to</w:t>
      </w:r>
      <w:r w:rsidR="00EE0CCB" w:rsidRPr="00B568B4">
        <w:rPr>
          <w:rFonts w:ascii="Arial" w:hAnsi="Arial" w:cs="Arial"/>
        </w:rPr>
        <w:t xml:space="preserve"> be dealt with more frequently</w:t>
      </w:r>
      <w:r w:rsidR="00981F1A" w:rsidRPr="00B568B4">
        <w:rPr>
          <w:rFonts w:ascii="Arial" w:hAnsi="Arial" w:cs="Arial"/>
        </w:rPr>
        <w:t>.</w:t>
      </w:r>
      <w:r w:rsidR="00EE0CCB" w:rsidRPr="00B568B4">
        <w:rPr>
          <w:rFonts w:ascii="Arial" w:hAnsi="Arial" w:cs="Arial"/>
        </w:rPr>
        <w:t xml:space="preserve"> </w:t>
      </w:r>
    </w:p>
    <w:p w:rsidR="00EE0CCB" w:rsidRPr="00B568B4" w:rsidRDefault="00EE0CCB"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t>Having Steering Group meetings more frequently gives th</w:t>
      </w:r>
      <w:r w:rsidR="00C80C68" w:rsidRPr="00B568B4">
        <w:rPr>
          <w:rFonts w:ascii="Arial" w:hAnsi="Arial" w:cs="Arial"/>
        </w:rPr>
        <w:t>e</w:t>
      </w:r>
      <w:r w:rsidRPr="00B568B4">
        <w:rPr>
          <w:rFonts w:ascii="Arial" w:hAnsi="Arial" w:cs="Arial"/>
        </w:rPr>
        <w:t xml:space="preserve"> Co</w:t>
      </w:r>
      <w:r w:rsidR="00C80C68" w:rsidRPr="00B568B4">
        <w:rPr>
          <w:rFonts w:ascii="Arial" w:hAnsi="Arial" w:cs="Arial"/>
        </w:rPr>
        <w:t>llaboration greater flexibility, makes it more nimble, and should enable projects to be taken forward more quickly than previously possible.</w:t>
      </w:r>
    </w:p>
    <w:p w:rsidR="00EE0CCB" w:rsidRPr="00B568B4" w:rsidRDefault="00EE0CCB"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t xml:space="preserve">The need for additional committees such as the </w:t>
      </w:r>
      <w:r w:rsidR="003B5762" w:rsidRPr="00B568B4">
        <w:rPr>
          <w:rFonts w:ascii="Arial" w:hAnsi="Arial" w:cs="Arial"/>
        </w:rPr>
        <w:t xml:space="preserve">proposed </w:t>
      </w:r>
      <w:r w:rsidRPr="00B568B4">
        <w:rPr>
          <w:rFonts w:ascii="Arial" w:hAnsi="Arial" w:cs="Arial"/>
        </w:rPr>
        <w:t>Business and Finance Committee is largely removed, as teleconference meetings will, de facto, be a meeting of the full Steering Group.</w:t>
      </w:r>
    </w:p>
    <w:p w:rsidR="00EE0CCB" w:rsidRPr="00B568B4" w:rsidRDefault="00EE0CCB"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t>Dealing with Collaboration business on a more frequent basis takes the pressure out of the current biennial meetings, reduces the administrative burden imposed by deadlines, and frees up the time taken by the mid-year meeting for other purposes.</w:t>
      </w:r>
    </w:p>
    <w:p w:rsidR="000B3D82" w:rsidRPr="00B568B4" w:rsidRDefault="000B3D82" w:rsidP="00626D90">
      <w:pPr>
        <w:numPr>
          <w:ilvl w:val="0"/>
          <w:numId w:val="22"/>
        </w:numPr>
        <w:tabs>
          <w:tab w:val="left" w:pos="1276"/>
          <w:tab w:val="left" w:pos="5110"/>
          <w:tab w:val="left" w:pos="7570"/>
          <w:tab w:val="left" w:pos="10031"/>
          <w:tab w:val="left" w:pos="12492"/>
        </w:tabs>
        <w:spacing w:after="0" w:line="240" w:lineRule="auto"/>
        <w:ind w:left="851" w:firstLine="0"/>
        <w:rPr>
          <w:rFonts w:ascii="Arial" w:hAnsi="Arial" w:cs="Arial"/>
        </w:rPr>
      </w:pPr>
      <w:r w:rsidRPr="00B568B4">
        <w:rPr>
          <w:rFonts w:ascii="Arial" w:hAnsi="Arial" w:cs="Arial"/>
        </w:rPr>
        <w:t xml:space="preserve">When a few years ago it was decided to have two Co-chairs, this reflected the increased workload of having to chair both Executive and PPG meetings, with an ever increasing agenda. Since then, most of the PPG agenda has been subsumed by the Editor in Chief’s office, and an increasing amount can be handled by the Secretariat. The load on the Co-Chairs is therefore much less </w:t>
      </w:r>
      <w:r w:rsidR="00CD2B44" w:rsidRPr="00B568B4">
        <w:rPr>
          <w:rFonts w:ascii="Arial" w:hAnsi="Arial" w:cs="Arial"/>
        </w:rPr>
        <w:t>than previously, particularly if</w:t>
      </w:r>
      <w:r w:rsidRPr="00B568B4">
        <w:rPr>
          <w:rFonts w:ascii="Arial" w:hAnsi="Arial" w:cs="Arial"/>
        </w:rPr>
        <w:t xml:space="preserve"> the PPG is disbanded, and therefore it may be time to reconsider the need for two Co-Chairs. Most organisations </w:t>
      </w:r>
      <w:r w:rsidR="00CD2B44" w:rsidRPr="00B568B4">
        <w:rPr>
          <w:rFonts w:ascii="Arial" w:hAnsi="Arial" w:cs="Arial"/>
        </w:rPr>
        <w:t xml:space="preserve">seem to manage with a single </w:t>
      </w:r>
      <w:r w:rsidRPr="00B568B4">
        <w:rPr>
          <w:rFonts w:ascii="Arial" w:hAnsi="Arial" w:cs="Arial"/>
        </w:rPr>
        <w:t>Chair.</w:t>
      </w:r>
    </w:p>
    <w:p w:rsidR="006F4330" w:rsidRPr="00B568B4" w:rsidRDefault="006F4330" w:rsidP="006F4330">
      <w:pPr>
        <w:tabs>
          <w:tab w:val="left" w:pos="1134"/>
          <w:tab w:val="left" w:pos="5110"/>
          <w:tab w:val="left" w:pos="7570"/>
          <w:tab w:val="left" w:pos="10031"/>
          <w:tab w:val="left" w:pos="12492"/>
        </w:tabs>
        <w:spacing w:after="0" w:line="240" w:lineRule="auto"/>
        <w:rPr>
          <w:rFonts w:ascii="Arial" w:hAnsi="Arial" w:cs="Arial"/>
        </w:rPr>
      </w:pPr>
    </w:p>
    <w:p w:rsidR="006F4330" w:rsidRPr="00B568B4" w:rsidRDefault="006F4330" w:rsidP="006F4330">
      <w:pPr>
        <w:tabs>
          <w:tab w:val="left" w:pos="1134"/>
          <w:tab w:val="left" w:pos="5110"/>
          <w:tab w:val="left" w:pos="7570"/>
          <w:tab w:val="left" w:pos="10031"/>
          <w:tab w:val="left" w:pos="12492"/>
        </w:tabs>
        <w:spacing w:after="0" w:line="240" w:lineRule="auto"/>
        <w:rPr>
          <w:rFonts w:ascii="Arial" w:hAnsi="Arial" w:cs="Arial"/>
        </w:rPr>
      </w:pPr>
      <w:r w:rsidRPr="00B568B4">
        <w:rPr>
          <w:rFonts w:ascii="Arial" w:hAnsi="Arial" w:cs="Arial"/>
        </w:rPr>
        <w:t>There are however several risks:</w:t>
      </w:r>
    </w:p>
    <w:p w:rsidR="006F4330" w:rsidRPr="00B568B4" w:rsidRDefault="006F4330" w:rsidP="006F4330">
      <w:pPr>
        <w:tabs>
          <w:tab w:val="left" w:pos="1134"/>
          <w:tab w:val="left" w:pos="5110"/>
          <w:tab w:val="left" w:pos="7570"/>
          <w:tab w:val="left" w:pos="10031"/>
          <w:tab w:val="left" w:pos="12492"/>
        </w:tabs>
        <w:spacing w:after="0" w:line="240" w:lineRule="auto"/>
        <w:rPr>
          <w:rFonts w:ascii="Arial" w:hAnsi="Arial" w:cs="Arial"/>
        </w:rPr>
      </w:pPr>
    </w:p>
    <w:p w:rsidR="006F4330" w:rsidRPr="00B568B4" w:rsidRDefault="006F4330" w:rsidP="00626D90">
      <w:pPr>
        <w:pStyle w:val="ListParagraph"/>
        <w:numPr>
          <w:ilvl w:val="0"/>
          <w:numId w:val="23"/>
        </w:numPr>
        <w:tabs>
          <w:tab w:val="left" w:pos="1276"/>
          <w:tab w:val="left" w:pos="5110"/>
          <w:tab w:val="left" w:pos="7570"/>
          <w:tab w:val="left" w:pos="10031"/>
          <w:tab w:val="left" w:pos="12492"/>
        </w:tabs>
        <w:spacing w:after="0" w:line="240" w:lineRule="auto"/>
        <w:ind w:firstLine="131"/>
        <w:rPr>
          <w:rFonts w:ascii="Arial" w:hAnsi="Arial" w:cs="Arial"/>
        </w:rPr>
      </w:pPr>
      <w:r w:rsidRPr="00B568B4">
        <w:rPr>
          <w:rFonts w:ascii="Arial" w:hAnsi="Arial" w:cs="Arial"/>
        </w:rPr>
        <w:t>Given the pace of change elsewhere in the Collaboration, this may be too fast a move at the current time.</w:t>
      </w:r>
    </w:p>
    <w:p w:rsidR="006F4330" w:rsidRPr="00B568B4" w:rsidRDefault="006F4330" w:rsidP="00626D90">
      <w:pPr>
        <w:pStyle w:val="ListParagraph"/>
        <w:numPr>
          <w:ilvl w:val="0"/>
          <w:numId w:val="23"/>
        </w:numPr>
        <w:tabs>
          <w:tab w:val="left" w:pos="1276"/>
          <w:tab w:val="left" w:pos="5110"/>
          <w:tab w:val="left" w:pos="7570"/>
          <w:tab w:val="left" w:pos="10031"/>
          <w:tab w:val="left" w:pos="12492"/>
        </w:tabs>
        <w:spacing w:after="0" w:line="240" w:lineRule="auto"/>
        <w:ind w:firstLine="131"/>
        <w:rPr>
          <w:rFonts w:ascii="Arial" w:hAnsi="Arial" w:cs="Arial"/>
        </w:rPr>
      </w:pPr>
      <w:r w:rsidRPr="00B568B4">
        <w:rPr>
          <w:rFonts w:ascii="Arial" w:hAnsi="Arial" w:cs="Arial"/>
        </w:rPr>
        <w:t xml:space="preserve">A compact Steering Group risks concentrating ‘power’ in a small number of hands, and could reduce the number of opinions aired. </w:t>
      </w:r>
    </w:p>
    <w:p w:rsidR="006F4330" w:rsidRPr="00B568B4" w:rsidRDefault="006F4330" w:rsidP="00626D90">
      <w:pPr>
        <w:pStyle w:val="ListParagraph"/>
        <w:numPr>
          <w:ilvl w:val="0"/>
          <w:numId w:val="23"/>
        </w:numPr>
        <w:tabs>
          <w:tab w:val="left" w:pos="1276"/>
          <w:tab w:val="left" w:pos="5110"/>
          <w:tab w:val="left" w:pos="7570"/>
          <w:tab w:val="left" w:pos="10031"/>
          <w:tab w:val="left" w:pos="12492"/>
        </w:tabs>
        <w:spacing w:after="0" w:line="240" w:lineRule="auto"/>
        <w:ind w:firstLine="131"/>
        <w:rPr>
          <w:rFonts w:ascii="Arial" w:hAnsi="Arial" w:cs="Arial"/>
        </w:rPr>
      </w:pPr>
      <w:r w:rsidRPr="00B568B4">
        <w:rPr>
          <w:rFonts w:ascii="Arial" w:hAnsi="Arial" w:cs="Arial"/>
        </w:rPr>
        <w:t>An increased CCSG workload would descend on individual members.</w:t>
      </w:r>
    </w:p>
    <w:p w:rsidR="006F4330" w:rsidRPr="00B568B4" w:rsidRDefault="006F4330" w:rsidP="00626D90">
      <w:pPr>
        <w:pStyle w:val="ListParagraph"/>
        <w:numPr>
          <w:ilvl w:val="0"/>
          <w:numId w:val="23"/>
        </w:numPr>
        <w:tabs>
          <w:tab w:val="left" w:pos="1276"/>
          <w:tab w:val="left" w:pos="5110"/>
          <w:tab w:val="left" w:pos="7570"/>
          <w:tab w:val="left" w:pos="10031"/>
          <w:tab w:val="left" w:pos="12492"/>
        </w:tabs>
        <w:spacing w:after="0" w:line="240" w:lineRule="auto"/>
        <w:ind w:firstLine="131"/>
        <w:rPr>
          <w:rFonts w:ascii="Arial" w:hAnsi="Arial" w:cs="Arial"/>
        </w:rPr>
      </w:pPr>
      <w:r w:rsidRPr="00B568B4">
        <w:rPr>
          <w:rFonts w:ascii="Arial" w:hAnsi="Arial" w:cs="Arial"/>
        </w:rPr>
        <w:t>It would be important to get the right alignment between members and portfolios.</w:t>
      </w:r>
    </w:p>
    <w:p w:rsidR="006F4330" w:rsidRPr="00B568B4" w:rsidRDefault="006F4330" w:rsidP="00626D90">
      <w:pPr>
        <w:pStyle w:val="ListParagraph"/>
        <w:numPr>
          <w:ilvl w:val="0"/>
          <w:numId w:val="23"/>
        </w:numPr>
        <w:tabs>
          <w:tab w:val="left" w:pos="1276"/>
          <w:tab w:val="left" w:pos="5110"/>
          <w:tab w:val="left" w:pos="7570"/>
          <w:tab w:val="left" w:pos="10031"/>
          <w:tab w:val="left" w:pos="12492"/>
        </w:tabs>
        <w:spacing w:after="0" w:line="240" w:lineRule="auto"/>
        <w:ind w:firstLine="131"/>
        <w:rPr>
          <w:rFonts w:ascii="Arial" w:hAnsi="Arial" w:cs="Arial"/>
        </w:rPr>
      </w:pPr>
      <w:r w:rsidRPr="00B568B4">
        <w:rPr>
          <w:rFonts w:ascii="Arial" w:hAnsi="Arial" w:cs="Arial"/>
        </w:rPr>
        <w:t>Maintaining the right governance balance between elected and ex-officio positions would have to be considered.</w:t>
      </w:r>
    </w:p>
    <w:p w:rsidR="002C7E66" w:rsidRPr="00B568B4" w:rsidRDefault="002C7E66" w:rsidP="002C7E66">
      <w:pPr>
        <w:tabs>
          <w:tab w:val="left" w:pos="1134"/>
          <w:tab w:val="left" w:pos="5110"/>
          <w:tab w:val="left" w:pos="7570"/>
          <w:tab w:val="left" w:pos="10031"/>
          <w:tab w:val="left" w:pos="12492"/>
        </w:tabs>
        <w:spacing w:after="0" w:line="240" w:lineRule="auto"/>
        <w:rPr>
          <w:rFonts w:ascii="Arial" w:hAnsi="Arial" w:cs="Arial"/>
        </w:rPr>
      </w:pPr>
    </w:p>
    <w:p w:rsidR="00C938C0" w:rsidRPr="00B568B4" w:rsidRDefault="00C938C0" w:rsidP="00C938C0">
      <w:pPr>
        <w:tabs>
          <w:tab w:val="left" w:pos="1134"/>
          <w:tab w:val="left" w:pos="5110"/>
          <w:tab w:val="left" w:pos="7570"/>
          <w:tab w:val="left" w:pos="10031"/>
          <w:tab w:val="left" w:pos="12492"/>
        </w:tabs>
        <w:spacing w:after="0" w:line="240" w:lineRule="auto"/>
        <w:rPr>
          <w:rFonts w:ascii="Arial" w:hAnsi="Arial" w:cs="Arial"/>
        </w:rPr>
      </w:pPr>
      <w:r w:rsidRPr="00B568B4">
        <w:rPr>
          <w:rFonts w:ascii="Arial" w:hAnsi="Arial" w:cs="Arial"/>
          <w:u w:val="single"/>
        </w:rPr>
        <w:t>What could replace the mid-year meeting?</w:t>
      </w:r>
      <w:r w:rsidRPr="00B568B4">
        <w:rPr>
          <w:rFonts w:ascii="Arial" w:hAnsi="Arial" w:cs="Arial"/>
        </w:rPr>
        <w:t xml:space="preserve">  This paper proposes that, building on the concept of the Strategic Sessions run for the last few years, the current mid-year meeting be changed into an annual Cochrane Leadership Summit, where leaders from across the Collaboration can come together to discuss matters of import and arrive at consensus-driven solutions. It is suggested that the summit draw its attendees from the entity Executives. There financial, opportunity and environmental costs to such a proposal, but resources have already been identified to allow Executives to attend mid-year strategic sessions. As such, the proposal is likely to be cost-neutral.</w:t>
      </w:r>
    </w:p>
    <w:p w:rsidR="00C938C0" w:rsidRPr="00B568B4" w:rsidRDefault="00C938C0" w:rsidP="00C938C0">
      <w:pPr>
        <w:tabs>
          <w:tab w:val="left" w:pos="2650"/>
          <w:tab w:val="left" w:pos="5110"/>
          <w:tab w:val="left" w:pos="7570"/>
          <w:tab w:val="left" w:pos="10031"/>
          <w:tab w:val="left" w:pos="12492"/>
        </w:tabs>
        <w:spacing w:after="0" w:line="240" w:lineRule="auto"/>
        <w:rPr>
          <w:rFonts w:ascii="Arial" w:hAnsi="Arial" w:cs="Arial"/>
        </w:rPr>
      </w:pPr>
    </w:p>
    <w:p w:rsidR="00C938C0" w:rsidRPr="00B568B4" w:rsidRDefault="00C938C0" w:rsidP="00C938C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Alternatively, and conscious of our desire to be environmentally sustainable, the mid-year meeting could be cancelled altogether.</w:t>
      </w:r>
    </w:p>
    <w:p w:rsidR="00C938C0" w:rsidRPr="00B568B4" w:rsidRDefault="00C938C0" w:rsidP="00C938C0">
      <w:pPr>
        <w:tabs>
          <w:tab w:val="left" w:pos="2650"/>
          <w:tab w:val="left" w:pos="5110"/>
          <w:tab w:val="left" w:pos="7570"/>
          <w:tab w:val="left" w:pos="10031"/>
          <w:tab w:val="left" w:pos="12492"/>
        </w:tabs>
        <w:spacing w:after="0" w:line="240" w:lineRule="auto"/>
        <w:rPr>
          <w:rFonts w:ascii="Arial" w:hAnsi="Arial" w:cs="Arial"/>
        </w:rPr>
      </w:pPr>
    </w:p>
    <w:p w:rsidR="00C938C0" w:rsidRPr="00B568B4" w:rsidRDefault="00C938C0" w:rsidP="00C938C0">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u w:val="single"/>
        </w:rPr>
        <w:t>For recommendation 2</w:t>
      </w:r>
      <w:r w:rsidRPr="00B568B4">
        <w:rPr>
          <w:rFonts w:ascii="Arial" w:hAnsi="Arial" w:cs="Arial"/>
        </w:rPr>
        <w:t xml:space="preserve"> a portfolio system is already being piloted, as described in Annex A.</w:t>
      </w:r>
    </w:p>
    <w:p w:rsidR="002C7E66" w:rsidRPr="00B568B4" w:rsidRDefault="002C7E66" w:rsidP="002C7E66">
      <w:pPr>
        <w:tabs>
          <w:tab w:val="left" w:pos="1134"/>
          <w:tab w:val="left" w:pos="5110"/>
          <w:tab w:val="left" w:pos="7570"/>
          <w:tab w:val="left" w:pos="10031"/>
          <w:tab w:val="left" w:pos="12492"/>
        </w:tabs>
        <w:spacing w:after="0" w:line="240" w:lineRule="auto"/>
        <w:rPr>
          <w:rFonts w:ascii="Arial" w:hAnsi="Arial" w:cs="Arial"/>
        </w:rPr>
      </w:pPr>
    </w:p>
    <w:p w:rsidR="00F33B15" w:rsidRPr="00B568B4" w:rsidRDefault="00F33B15" w:rsidP="00F33B15">
      <w:pPr>
        <w:tabs>
          <w:tab w:val="left" w:pos="2650"/>
          <w:tab w:val="left" w:pos="5110"/>
          <w:tab w:val="left" w:pos="7570"/>
          <w:tab w:val="left" w:pos="10031"/>
          <w:tab w:val="left" w:pos="12492"/>
        </w:tabs>
        <w:spacing w:after="0" w:line="240" w:lineRule="auto"/>
        <w:rPr>
          <w:rFonts w:ascii="Arial" w:hAnsi="Arial" w:cs="Arial"/>
        </w:rPr>
      </w:pPr>
    </w:p>
    <w:p w:rsidR="00F33B15" w:rsidRPr="00B568B4" w:rsidRDefault="00F33B15" w:rsidP="00F33B15">
      <w:pPr>
        <w:tabs>
          <w:tab w:val="left" w:pos="2650"/>
          <w:tab w:val="left" w:pos="5110"/>
          <w:tab w:val="left" w:pos="7570"/>
          <w:tab w:val="left" w:pos="10031"/>
          <w:tab w:val="left" w:pos="12492"/>
        </w:tabs>
        <w:spacing w:after="0" w:line="240" w:lineRule="auto"/>
        <w:rPr>
          <w:rFonts w:ascii="Arial" w:hAnsi="Arial" w:cs="Arial"/>
        </w:rPr>
        <w:sectPr w:rsidR="00F33B15" w:rsidRPr="00B568B4" w:rsidSect="00C224B0">
          <w:headerReference w:type="default" r:id="rId7"/>
          <w:footerReference w:type="default" r:id="rId8"/>
          <w:pgSz w:w="11906" w:h="16838" w:code="9"/>
          <w:pgMar w:top="1134" w:right="1134" w:bottom="851" w:left="851" w:header="709" w:footer="709" w:gutter="0"/>
          <w:cols w:space="708"/>
          <w:docGrid w:linePitch="360"/>
        </w:sectPr>
      </w:pPr>
    </w:p>
    <w:p w:rsidR="00F33B15" w:rsidRPr="00B568B4" w:rsidRDefault="00F33B15" w:rsidP="00F33B15">
      <w:pPr>
        <w:tabs>
          <w:tab w:val="left" w:pos="2650"/>
          <w:tab w:val="left" w:pos="5110"/>
          <w:tab w:val="left" w:pos="7570"/>
          <w:tab w:val="left" w:pos="10031"/>
          <w:tab w:val="left" w:pos="12492"/>
        </w:tabs>
        <w:spacing w:after="0" w:line="240" w:lineRule="auto"/>
        <w:jc w:val="both"/>
        <w:rPr>
          <w:rFonts w:ascii="Arial" w:hAnsi="Arial" w:cs="Arial"/>
          <w:b/>
        </w:rPr>
      </w:pPr>
      <w:r w:rsidRPr="00B568B4">
        <w:rPr>
          <w:rFonts w:ascii="Arial" w:hAnsi="Arial" w:cs="Arial"/>
          <w:b/>
        </w:rPr>
        <w:lastRenderedPageBreak/>
        <w:t>Table 1: Future options for CCSG membership</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2551"/>
        <w:gridCol w:w="1843"/>
        <w:gridCol w:w="2551"/>
        <w:gridCol w:w="2882"/>
        <w:gridCol w:w="2505"/>
      </w:tblGrid>
      <w:tr w:rsidR="00F33B15" w:rsidRPr="00B568B4" w:rsidTr="00110D2D">
        <w:tc>
          <w:tcPr>
            <w:tcW w:w="2802" w:type="dxa"/>
          </w:tcPr>
          <w:p w:rsidR="00F33B15" w:rsidRPr="00B568B4" w:rsidRDefault="00F33B15" w:rsidP="00110D2D">
            <w:pPr>
              <w:spacing w:after="0" w:line="240" w:lineRule="auto"/>
              <w:rPr>
                <w:rFonts w:ascii="Arial" w:hAnsi="Arial" w:cs="Arial"/>
                <w:b/>
              </w:rPr>
            </w:pPr>
            <w:r w:rsidRPr="00B568B4">
              <w:rPr>
                <w:rFonts w:ascii="Arial" w:hAnsi="Arial" w:cs="Arial"/>
                <w:b/>
              </w:rPr>
              <w:t>Current structure</w:t>
            </w:r>
          </w:p>
        </w:tc>
        <w:tc>
          <w:tcPr>
            <w:tcW w:w="2551" w:type="dxa"/>
          </w:tcPr>
          <w:p w:rsidR="00F33B15" w:rsidRPr="00B568B4" w:rsidRDefault="00F33B15" w:rsidP="00110D2D">
            <w:pPr>
              <w:spacing w:after="0" w:line="240" w:lineRule="auto"/>
              <w:rPr>
                <w:rFonts w:ascii="Arial" w:hAnsi="Arial" w:cs="Arial"/>
                <w:b/>
              </w:rPr>
            </w:pPr>
            <w:r w:rsidRPr="00B568B4">
              <w:rPr>
                <w:rFonts w:ascii="Arial" w:hAnsi="Arial" w:cs="Arial"/>
                <w:b/>
              </w:rPr>
              <w:t>Current incumbent</w:t>
            </w:r>
          </w:p>
        </w:tc>
        <w:tc>
          <w:tcPr>
            <w:tcW w:w="1843"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Current term</w:t>
            </w:r>
          </w:p>
        </w:tc>
        <w:tc>
          <w:tcPr>
            <w:tcW w:w="2551"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Future role</w:t>
            </w:r>
          </w:p>
        </w:tc>
        <w:tc>
          <w:tcPr>
            <w:tcW w:w="2882"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Future role</w:t>
            </w:r>
          </w:p>
        </w:tc>
        <w:tc>
          <w:tcPr>
            <w:tcW w:w="2505"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Future role</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jc w:val="center"/>
              <w:rPr>
                <w:rFonts w:ascii="Arial" w:hAnsi="Arial" w:cs="Arial"/>
              </w:rPr>
            </w:pPr>
            <w:r w:rsidRPr="00B568B4">
              <w:rPr>
                <w:rFonts w:ascii="Arial" w:hAnsi="Arial" w:cs="Arial"/>
              </w:rPr>
              <w:t>(Option 1)</w:t>
            </w:r>
          </w:p>
        </w:tc>
        <w:tc>
          <w:tcPr>
            <w:tcW w:w="2882" w:type="dxa"/>
          </w:tcPr>
          <w:p w:rsidR="00F33B15" w:rsidRPr="00B568B4" w:rsidRDefault="00F33B15" w:rsidP="00110D2D">
            <w:pPr>
              <w:spacing w:after="0" w:line="240" w:lineRule="auto"/>
              <w:jc w:val="center"/>
              <w:rPr>
                <w:rFonts w:ascii="Arial" w:hAnsi="Arial" w:cs="Arial"/>
              </w:rPr>
            </w:pPr>
            <w:r w:rsidRPr="00B568B4">
              <w:rPr>
                <w:rFonts w:ascii="Arial" w:hAnsi="Arial" w:cs="Arial"/>
              </w:rPr>
              <w:t>(Option 2)</w:t>
            </w:r>
          </w:p>
        </w:tc>
        <w:tc>
          <w:tcPr>
            <w:tcW w:w="2505" w:type="dxa"/>
          </w:tcPr>
          <w:p w:rsidR="00F33B15" w:rsidRPr="00B568B4" w:rsidRDefault="00F33B15" w:rsidP="00110D2D">
            <w:pPr>
              <w:spacing w:after="0" w:line="240" w:lineRule="auto"/>
              <w:jc w:val="center"/>
              <w:rPr>
                <w:rFonts w:ascii="Arial" w:hAnsi="Arial" w:cs="Arial"/>
              </w:rPr>
            </w:pPr>
            <w:r w:rsidRPr="00B568B4">
              <w:rPr>
                <w:rFonts w:ascii="Arial" w:hAnsi="Arial" w:cs="Arial"/>
              </w:rPr>
              <w:t>(Option 3)</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Jonathan Craig</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December 2011</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Lorne Becker</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December 2010</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Co-Chair</w:t>
            </w: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Centre</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Lisa Bero</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2010</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Centre</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Centre Director</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Centre Director</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Centre</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Rob Scholten</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2010</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Centre</w:t>
            </w: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Centre</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Steve McDonald</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2011</w:t>
            </w: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Centre Staff</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Mary Ellen Schaafsma</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2012</w:t>
            </w: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Consumer Network</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Liz Whamond</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2010</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Consumer Network</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Consumer Network</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Consumer Network</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Consumer Network</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Mingming Zhang</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2012</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Consumer Network</w:t>
            </w: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CRG ‘at large’</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Hans van der Wouden</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2011</w:t>
            </w: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CRG ‘at large’</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Zbys Fedorowicz</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2010</w:t>
            </w: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CRG Author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Donna Gillies</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2011</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CRG Author</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CRG Author</w:t>
            </w: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CRG Co-ordinating Editor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Roger Soll</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2011</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CRG Co-ordinating Editor</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CRG Co-ordinating Editor</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CRG Co-ordinating Editor</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CRG Co-ordinating Editor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Sophie Hill</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2012</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CRG Co-ordinating Editor</w:t>
            </w: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CRG Managing Editor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Sonja Henderson</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2011</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CRG Managing Editor</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CRG Managing Editor</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CRG Managing Editor</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Field</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Katrina Williams</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2010</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Field</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Field</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Field</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Methods Group</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Julian Higgins</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2011</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Methods Group</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Methods Group</w:t>
            </w:r>
          </w:p>
        </w:tc>
        <w:tc>
          <w:tcPr>
            <w:tcW w:w="2505" w:type="dxa"/>
          </w:tcPr>
          <w:p w:rsidR="00F33B15" w:rsidRPr="00B568B4" w:rsidRDefault="00F33B15" w:rsidP="00110D2D">
            <w:pPr>
              <w:spacing w:after="0" w:line="240" w:lineRule="auto"/>
              <w:rPr>
                <w:rFonts w:ascii="Arial" w:hAnsi="Arial" w:cs="Arial"/>
              </w:rPr>
            </w:pPr>
            <w:r w:rsidRPr="00B568B4">
              <w:rPr>
                <w:rFonts w:ascii="Arial" w:hAnsi="Arial" w:cs="Arial"/>
              </w:rPr>
              <w:t>Methods Group</w:t>
            </w: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r w:rsidRPr="00B568B4">
              <w:rPr>
                <w:rFonts w:ascii="Arial" w:hAnsi="Arial" w:cs="Arial"/>
              </w:rPr>
              <w:t>Trials Search Co-ordinator</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Gail Higgins</w:t>
            </w:r>
          </w:p>
        </w:tc>
        <w:tc>
          <w:tcPr>
            <w:tcW w:w="1843" w:type="dxa"/>
          </w:tcPr>
          <w:p w:rsidR="00F33B15" w:rsidRPr="00B568B4" w:rsidRDefault="00F33B15" w:rsidP="00110D2D">
            <w:pPr>
              <w:spacing w:after="0" w:line="240" w:lineRule="auto"/>
              <w:jc w:val="center"/>
              <w:rPr>
                <w:rFonts w:ascii="Arial" w:hAnsi="Arial" w:cs="Arial"/>
              </w:rPr>
            </w:pPr>
            <w:r w:rsidRPr="00B568B4">
              <w:rPr>
                <w:rFonts w:ascii="Arial" w:hAnsi="Arial" w:cs="Arial"/>
              </w:rPr>
              <w:t>October 2012</w:t>
            </w:r>
          </w:p>
        </w:tc>
        <w:tc>
          <w:tcPr>
            <w:tcW w:w="2551" w:type="dxa"/>
          </w:tcPr>
          <w:p w:rsidR="00F33B15" w:rsidRPr="00B568B4" w:rsidRDefault="00F33B15" w:rsidP="00110D2D">
            <w:pPr>
              <w:spacing w:after="0" w:line="240" w:lineRule="auto"/>
              <w:rPr>
                <w:rFonts w:ascii="Arial" w:hAnsi="Arial" w:cs="Arial"/>
              </w:rPr>
            </w:pPr>
            <w:r w:rsidRPr="00B568B4">
              <w:rPr>
                <w:rFonts w:ascii="Arial" w:hAnsi="Arial" w:cs="Arial"/>
              </w:rPr>
              <w:t>Trials Search Co-ordinator</w:t>
            </w:r>
          </w:p>
        </w:tc>
        <w:tc>
          <w:tcPr>
            <w:tcW w:w="2882" w:type="dxa"/>
          </w:tcPr>
          <w:p w:rsidR="00F33B15" w:rsidRPr="00B568B4" w:rsidRDefault="00F33B15" w:rsidP="00110D2D">
            <w:pPr>
              <w:spacing w:after="0" w:line="240" w:lineRule="auto"/>
              <w:rPr>
                <w:rFonts w:ascii="Arial" w:hAnsi="Arial" w:cs="Arial"/>
              </w:rPr>
            </w:pPr>
            <w:r w:rsidRPr="00B568B4">
              <w:rPr>
                <w:rFonts w:ascii="Arial" w:hAnsi="Arial" w:cs="Arial"/>
              </w:rPr>
              <w:t>Trials Search Co-ordinator*</w:t>
            </w: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1843" w:type="dxa"/>
          </w:tcPr>
          <w:p w:rsidR="00F33B15" w:rsidRPr="00B568B4" w:rsidRDefault="00F33B15" w:rsidP="00110D2D">
            <w:pPr>
              <w:spacing w:after="0" w:line="240" w:lineRule="auto"/>
              <w:jc w:val="center"/>
              <w:rPr>
                <w:rFonts w:ascii="Arial" w:hAnsi="Arial" w:cs="Arial"/>
              </w:rPr>
            </w:pPr>
          </w:p>
        </w:tc>
        <w:tc>
          <w:tcPr>
            <w:tcW w:w="2551" w:type="dxa"/>
          </w:tcPr>
          <w:p w:rsidR="00F33B15" w:rsidRPr="00B568B4" w:rsidRDefault="00F33B15" w:rsidP="00110D2D">
            <w:pPr>
              <w:spacing w:after="0" w:line="240" w:lineRule="auto"/>
              <w:rPr>
                <w:rFonts w:ascii="Arial" w:hAnsi="Arial" w:cs="Arial"/>
              </w:rPr>
            </w:pPr>
          </w:p>
        </w:tc>
        <w:tc>
          <w:tcPr>
            <w:tcW w:w="2882" w:type="dxa"/>
          </w:tcPr>
          <w:p w:rsidR="00F33B15" w:rsidRPr="00B568B4" w:rsidRDefault="00F33B15" w:rsidP="00110D2D">
            <w:pPr>
              <w:spacing w:after="0" w:line="240" w:lineRule="auto"/>
              <w:rPr>
                <w:rFonts w:ascii="Arial" w:hAnsi="Arial" w:cs="Arial"/>
              </w:rPr>
            </w:pPr>
          </w:p>
        </w:tc>
        <w:tc>
          <w:tcPr>
            <w:tcW w:w="2505" w:type="dxa"/>
          </w:tcPr>
          <w:p w:rsidR="00F33B15" w:rsidRPr="00B568B4" w:rsidRDefault="00F33B15" w:rsidP="00110D2D">
            <w:pPr>
              <w:spacing w:after="0" w:line="240" w:lineRule="auto"/>
              <w:rPr>
                <w:rFonts w:ascii="Arial" w:hAnsi="Arial" w:cs="Arial"/>
              </w:rPr>
            </w:pPr>
          </w:p>
        </w:tc>
      </w:tr>
      <w:tr w:rsidR="00F33B15" w:rsidRPr="00B568B4" w:rsidTr="00110D2D">
        <w:tc>
          <w:tcPr>
            <w:tcW w:w="2802"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Number = 17</w:t>
            </w:r>
          </w:p>
        </w:tc>
        <w:tc>
          <w:tcPr>
            <w:tcW w:w="2551" w:type="dxa"/>
          </w:tcPr>
          <w:p w:rsidR="00F33B15" w:rsidRPr="00B568B4" w:rsidRDefault="00F33B15" w:rsidP="00110D2D">
            <w:pPr>
              <w:spacing w:after="0" w:line="240" w:lineRule="auto"/>
              <w:jc w:val="center"/>
              <w:rPr>
                <w:rFonts w:ascii="Arial" w:hAnsi="Arial" w:cs="Arial"/>
                <w:b/>
              </w:rPr>
            </w:pPr>
          </w:p>
        </w:tc>
        <w:tc>
          <w:tcPr>
            <w:tcW w:w="1843" w:type="dxa"/>
          </w:tcPr>
          <w:p w:rsidR="00F33B15" w:rsidRPr="00B568B4" w:rsidRDefault="00F33B15" w:rsidP="00110D2D">
            <w:pPr>
              <w:spacing w:after="0" w:line="240" w:lineRule="auto"/>
              <w:jc w:val="center"/>
              <w:rPr>
                <w:rFonts w:ascii="Arial" w:hAnsi="Arial" w:cs="Arial"/>
                <w:b/>
              </w:rPr>
            </w:pPr>
          </w:p>
        </w:tc>
        <w:tc>
          <w:tcPr>
            <w:tcW w:w="2551"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13</w:t>
            </w:r>
          </w:p>
        </w:tc>
        <w:tc>
          <w:tcPr>
            <w:tcW w:w="2882"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10/9*</w:t>
            </w:r>
          </w:p>
        </w:tc>
        <w:tc>
          <w:tcPr>
            <w:tcW w:w="2505" w:type="dxa"/>
          </w:tcPr>
          <w:p w:rsidR="00F33B15" w:rsidRPr="00B568B4" w:rsidRDefault="00F33B15" w:rsidP="00110D2D">
            <w:pPr>
              <w:spacing w:after="0" w:line="240" w:lineRule="auto"/>
              <w:jc w:val="center"/>
              <w:rPr>
                <w:rFonts w:ascii="Arial" w:hAnsi="Arial" w:cs="Arial"/>
                <w:b/>
              </w:rPr>
            </w:pPr>
            <w:r w:rsidRPr="00B568B4">
              <w:rPr>
                <w:rFonts w:ascii="Arial" w:hAnsi="Arial" w:cs="Arial"/>
                <w:b/>
              </w:rPr>
              <w:t>7</w:t>
            </w:r>
          </w:p>
        </w:tc>
      </w:tr>
    </w:tbl>
    <w:p w:rsidR="00F33B15" w:rsidRPr="00B568B4" w:rsidRDefault="00F33B15" w:rsidP="00F33B15">
      <w:pPr>
        <w:pStyle w:val="Footer"/>
        <w:spacing w:after="0"/>
        <w:rPr>
          <w:rFonts w:ascii="Arial" w:hAnsi="Arial" w:cs="Arial"/>
        </w:rPr>
      </w:pPr>
      <w:r w:rsidRPr="00B568B4">
        <w:rPr>
          <w:rFonts w:ascii="Arial" w:hAnsi="Arial" w:cs="Arial"/>
        </w:rPr>
        <w:t>* Optional change: Remove Trials Search Co-ordinator position</w:t>
      </w:r>
    </w:p>
    <w:p w:rsidR="00F33B15" w:rsidRPr="00B568B4" w:rsidRDefault="00F33B15" w:rsidP="00F33B15">
      <w:pPr>
        <w:spacing w:after="0" w:line="240" w:lineRule="auto"/>
        <w:rPr>
          <w:rFonts w:ascii="Arial" w:hAnsi="Arial" w:cs="Arial"/>
        </w:rPr>
      </w:pPr>
      <w:r w:rsidRPr="00B568B4">
        <w:rPr>
          <w:rFonts w:ascii="Arial" w:hAnsi="Arial" w:cs="Arial"/>
        </w:rPr>
        <w:t>Note: Ex-officio posts (CEO, EiC, Company Secretary) and attendees (Project Support and Communications Officer) remain unchanged</w:t>
      </w:r>
    </w:p>
    <w:p w:rsidR="00F33B15" w:rsidRPr="00B568B4" w:rsidRDefault="00F33B15" w:rsidP="002C7E66">
      <w:pPr>
        <w:tabs>
          <w:tab w:val="left" w:pos="1134"/>
          <w:tab w:val="left" w:pos="5110"/>
          <w:tab w:val="left" w:pos="7570"/>
          <w:tab w:val="left" w:pos="10031"/>
          <w:tab w:val="left" w:pos="12492"/>
        </w:tabs>
        <w:spacing w:after="0" w:line="240" w:lineRule="auto"/>
        <w:rPr>
          <w:rFonts w:ascii="Arial" w:hAnsi="Arial" w:cs="Arial"/>
        </w:rPr>
        <w:sectPr w:rsidR="00F33B15" w:rsidRPr="00B568B4" w:rsidSect="00C938C0">
          <w:footerReference w:type="default" r:id="rId9"/>
          <w:pgSz w:w="16838" w:h="11906" w:orient="landscape" w:code="9"/>
          <w:pgMar w:top="851" w:right="1134" w:bottom="1134" w:left="851" w:header="709" w:footer="709" w:gutter="0"/>
          <w:cols w:space="708"/>
          <w:docGrid w:linePitch="360"/>
        </w:sectPr>
      </w:pPr>
    </w:p>
    <w:p w:rsidR="00F708C9" w:rsidRPr="00B568B4" w:rsidRDefault="00F708C9" w:rsidP="00F708C9">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b/>
        </w:rPr>
        <w:lastRenderedPageBreak/>
        <w:t>Options for changing the CCSG committee structure</w:t>
      </w:r>
    </w:p>
    <w:p w:rsidR="00F708C9" w:rsidRPr="00B568B4" w:rsidRDefault="00F708C9" w:rsidP="00F708C9">
      <w:pPr>
        <w:tabs>
          <w:tab w:val="left" w:pos="2650"/>
          <w:tab w:val="left" w:pos="5110"/>
          <w:tab w:val="left" w:pos="7570"/>
          <w:tab w:val="left" w:pos="10031"/>
          <w:tab w:val="left" w:pos="12492"/>
        </w:tabs>
        <w:spacing w:after="0" w:line="240" w:lineRule="auto"/>
        <w:rPr>
          <w:rFonts w:ascii="Arial" w:hAnsi="Arial" w:cs="Arial"/>
        </w:rPr>
      </w:pPr>
    </w:p>
    <w:p w:rsidR="00707BF8" w:rsidRPr="00B568B4" w:rsidRDefault="00F708C9" w:rsidP="00F708C9">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 xml:space="preserve">The CCSG’s current Sub- and Advisory Groups are mapped in Diagram 1. This structure has lasted for some time, but now needs to change to reflect recent organisational changes. The main change has been the establishment of the role and office of Editor in </w:t>
      </w:r>
      <w:r w:rsidR="00CD2B44" w:rsidRPr="00B568B4">
        <w:rPr>
          <w:rFonts w:ascii="Arial" w:hAnsi="Arial" w:cs="Arial"/>
        </w:rPr>
        <w:t>Chief, which</w:t>
      </w:r>
      <w:r w:rsidRPr="00B568B4">
        <w:rPr>
          <w:rFonts w:ascii="Arial" w:hAnsi="Arial" w:cs="Arial"/>
        </w:rPr>
        <w:t xml:space="preserve"> has subsumed </w:t>
      </w:r>
      <w:r w:rsidR="00CD2B44" w:rsidRPr="00B568B4">
        <w:rPr>
          <w:rFonts w:ascii="Arial" w:hAnsi="Arial" w:cs="Arial"/>
        </w:rPr>
        <w:t>most</w:t>
      </w:r>
      <w:r w:rsidRPr="00B568B4">
        <w:rPr>
          <w:rFonts w:ascii="Arial" w:hAnsi="Arial" w:cs="Arial"/>
        </w:rPr>
        <w:t xml:space="preserve"> of the former role of the Publishing Policy Group (PPG). </w:t>
      </w:r>
    </w:p>
    <w:p w:rsidR="0003001B" w:rsidRPr="00B568B4" w:rsidRDefault="0003001B" w:rsidP="00F708C9">
      <w:pPr>
        <w:tabs>
          <w:tab w:val="left" w:pos="2650"/>
          <w:tab w:val="left" w:pos="5110"/>
          <w:tab w:val="left" w:pos="7570"/>
          <w:tab w:val="left" w:pos="10031"/>
          <w:tab w:val="left" w:pos="12492"/>
        </w:tabs>
        <w:spacing w:after="0" w:line="240" w:lineRule="auto"/>
        <w:rPr>
          <w:rFonts w:ascii="Arial" w:hAnsi="Arial" w:cs="Arial"/>
        </w:rPr>
      </w:pPr>
    </w:p>
    <w:p w:rsidR="0003001B" w:rsidRPr="00B568B4" w:rsidRDefault="0003001B" w:rsidP="00F708C9">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One aspect of ‘the way we do things’ noted by the review was that within the Collaboration we sometimes use terminology that, whilst familiar to ‘insiders’, can make us seem exclusive and ‘clubby’ to outsiders. An example of this is the use of the word ‘group’ where ‘committee’ is more commonly understood, and therefore:</w:t>
      </w:r>
    </w:p>
    <w:p w:rsidR="0003001B" w:rsidRPr="00B568B4" w:rsidRDefault="0003001B" w:rsidP="00F708C9">
      <w:pPr>
        <w:tabs>
          <w:tab w:val="left" w:pos="2650"/>
          <w:tab w:val="left" w:pos="5110"/>
          <w:tab w:val="left" w:pos="7570"/>
          <w:tab w:val="left" w:pos="10031"/>
          <w:tab w:val="left" w:pos="12492"/>
        </w:tabs>
        <w:spacing w:after="0" w:line="240" w:lineRule="auto"/>
        <w:rPr>
          <w:rFonts w:ascii="Arial" w:hAnsi="Arial" w:cs="Arial"/>
        </w:rPr>
      </w:pPr>
    </w:p>
    <w:p w:rsidR="0003001B" w:rsidRPr="00B568B4" w:rsidRDefault="0003001B" w:rsidP="00397F91">
      <w:pPr>
        <w:pStyle w:val="ListParagraph"/>
        <w:numPr>
          <w:ilvl w:val="0"/>
          <w:numId w:val="11"/>
        </w:numPr>
        <w:tabs>
          <w:tab w:val="left" w:pos="1134"/>
          <w:tab w:val="left" w:pos="5110"/>
          <w:tab w:val="left" w:pos="7570"/>
          <w:tab w:val="left" w:pos="10031"/>
          <w:tab w:val="left" w:pos="12492"/>
        </w:tabs>
        <w:spacing w:after="0" w:line="240" w:lineRule="auto"/>
        <w:ind w:left="714" w:hanging="5"/>
        <w:rPr>
          <w:rFonts w:ascii="Arial" w:hAnsi="Arial" w:cs="Arial"/>
        </w:rPr>
      </w:pPr>
      <w:r w:rsidRPr="00B568B4">
        <w:rPr>
          <w:rFonts w:ascii="Arial" w:hAnsi="Arial" w:cs="Arial"/>
        </w:rPr>
        <w:t>Recommendation 3: that the Collaboration use the word ‘committee’ to describe its committees, rather than the word ‘group’.</w:t>
      </w:r>
    </w:p>
    <w:p w:rsidR="0003001B" w:rsidRPr="00B568B4" w:rsidRDefault="0003001B" w:rsidP="00F708C9">
      <w:pPr>
        <w:tabs>
          <w:tab w:val="left" w:pos="2650"/>
          <w:tab w:val="left" w:pos="5110"/>
          <w:tab w:val="left" w:pos="7570"/>
          <w:tab w:val="left" w:pos="10031"/>
          <w:tab w:val="left" w:pos="12492"/>
        </w:tabs>
        <w:spacing w:after="0" w:line="240" w:lineRule="auto"/>
        <w:rPr>
          <w:rFonts w:ascii="Arial" w:hAnsi="Arial" w:cs="Arial"/>
        </w:rPr>
      </w:pPr>
    </w:p>
    <w:p w:rsidR="00707BF8" w:rsidRPr="00B568B4" w:rsidRDefault="004C7DED" w:rsidP="00F708C9">
      <w:pPr>
        <w:tabs>
          <w:tab w:val="left" w:pos="2650"/>
          <w:tab w:val="left" w:pos="5110"/>
          <w:tab w:val="left" w:pos="7570"/>
          <w:tab w:val="left" w:pos="10031"/>
          <w:tab w:val="left" w:pos="12492"/>
        </w:tabs>
        <w:spacing w:after="0" w:line="240" w:lineRule="auto"/>
        <w:rPr>
          <w:rFonts w:ascii="Arial" w:hAnsi="Arial" w:cs="Arial"/>
        </w:rPr>
      </w:pPr>
      <w:r>
        <w:rPr>
          <w:rFonts w:ascii="Arial" w:hAnsi="Arial" w:cs="Arial"/>
          <w:noProof/>
          <w:lang w:val="en-US"/>
        </w:rPr>
        <w:drawing>
          <wp:inline distT="0" distB="0" distL="0" distR="0">
            <wp:extent cx="6096000" cy="2505075"/>
            <wp:effectExtent l="19050" t="0" r="0" b="0"/>
            <wp:docPr id="1" name="Picture 1" descr="Committees - cur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ittees - current"/>
                    <pic:cNvPicPr>
                      <a:picLocks noChangeAspect="1" noChangeArrowheads="1"/>
                    </pic:cNvPicPr>
                  </pic:nvPicPr>
                  <pic:blipFill>
                    <a:blip r:embed="rId10" cstate="print"/>
                    <a:srcRect/>
                    <a:stretch>
                      <a:fillRect/>
                    </a:stretch>
                  </pic:blipFill>
                  <pic:spPr bwMode="auto">
                    <a:xfrm>
                      <a:off x="0" y="0"/>
                      <a:ext cx="6096000" cy="2505075"/>
                    </a:xfrm>
                    <a:prstGeom prst="rect">
                      <a:avLst/>
                    </a:prstGeom>
                    <a:noFill/>
                    <a:ln w="9525">
                      <a:noFill/>
                      <a:miter lim="800000"/>
                      <a:headEnd/>
                      <a:tailEnd/>
                    </a:ln>
                  </pic:spPr>
                </pic:pic>
              </a:graphicData>
            </a:graphic>
          </wp:inline>
        </w:drawing>
      </w:r>
    </w:p>
    <w:p w:rsidR="00D72801" w:rsidRPr="00B568B4" w:rsidRDefault="00D72801" w:rsidP="00D72801">
      <w:pPr>
        <w:tabs>
          <w:tab w:val="left" w:pos="2650"/>
          <w:tab w:val="left" w:pos="5110"/>
          <w:tab w:val="left" w:pos="7570"/>
          <w:tab w:val="left" w:pos="10031"/>
          <w:tab w:val="left" w:pos="12492"/>
        </w:tabs>
        <w:spacing w:after="0" w:line="240" w:lineRule="auto"/>
        <w:rPr>
          <w:rFonts w:ascii="Arial" w:hAnsi="Arial" w:cs="Arial"/>
          <w:b/>
        </w:rPr>
      </w:pPr>
      <w:r w:rsidRPr="00B568B4">
        <w:rPr>
          <w:rFonts w:ascii="Arial" w:hAnsi="Arial" w:cs="Arial"/>
          <w:b/>
        </w:rPr>
        <w:t>Diagram 1: Current CCSG committee structure</w:t>
      </w:r>
    </w:p>
    <w:p w:rsidR="00EF5ABA" w:rsidRPr="00B568B4" w:rsidRDefault="00EF5ABA" w:rsidP="00F708C9">
      <w:pPr>
        <w:tabs>
          <w:tab w:val="left" w:pos="2650"/>
          <w:tab w:val="left" w:pos="5110"/>
          <w:tab w:val="left" w:pos="7570"/>
          <w:tab w:val="left" w:pos="10031"/>
          <w:tab w:val="left" w:pos="12492"/>
        </w:tabs>
        <w:spacing w:after="0" w:line="240" w:lineRule="auto"/>
        <w:rPr>
          <w:rFonts w:ascii="Arial" w:hAnsi="Arial" w:cs="Arial"/>
        </w:rPr>
      </w:pPr>
    </w:p>
    <w:p w:rsidR="00707BF8" w:rsidRPr="00B568B4" w:rsidRDefault="00707BF8" w:rsidP="00707BF8">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The following changes are proposed (</w:t>
      </w:r>
      <w:r w:rsidR="00846CDC" w:rsidRPr="00B568B4">
        <w:rPr>
          <w:rFonts w:ascii="Arial" w:hAnsi="Arial" w:cs="Arial"/>
        </w:rPr>
        <w:t xml:space="preserve">changes </w:t>
      </w:r>
      <w:r w:rsidRPr="00B568B4">
        <w:rPr>
          <w:rFonts w:ascii="Arial" w:hAnsi="Arial" w:cs="Arial"/>
        </w:rPr>
        <w:t>mapped in Diagram 2</w:t>
      </w:r>
      <w:r w:rsidR="00846CDC" w:rsidRPr="00B568B4">
        <w:rPr>
          <w:rFonts w:ascii="Arial" w:hAnsi="Arial" w:cs="Arial"/>
        </w:rPr>
        <w:t>, new structure in Diagram 3</w:t>
      </w:r>
      <w:r w:rsidRPr="00B568B4">
        <w:rPr>
          <w:rFonts w:ascii="Arial" w:hAnsi="Arial" w:cs="Arial"/>
        </w:rPr>
        <w:t>):</w:t>
      </w:r>
    </w:p>
    <w:p w:rsidR="00EF5ABA" w:rsidRPr="00B568B4" w:rsidRDefault="00EF5ABA" w:rsidP="00F708C9">
      <w:pPr>
        <w:tabs>
          <w:tab w:val="left" w:pos="2650"/>
          <w:tab w:val="left" w:pos="5110"/>
          <w:tab w:val="left" w:pos="7570"/>
          <w:tab w:val="left" w:pos="10031"/>
          <w:tab w:val="left" w:pos="12492"/>
        </w:tabs>
        <w:spacing w:after="0" w:line="240" w:lineRule="auto"/>
        <w:rPr>
          <w:rFonts w:ascii="Arial" w:hAnsi="Arial" w:cs="Arial"/>
        </w:rPr>
      </w:pPr>
    </w:p>
    <w:p w:rsidR="00CD2B44" w:rsidRPr="00B568B4" w:rsidRDefault="0003001B"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4</w:t>
      </w:r>
      <w:r w:rsidR="00CD2B44" w:rsidRPr="00B568B4">
        <w:rPr>
          <w:rFonts w:ascii="Arial" w:hAnsi="Arial" w:cs="Arial"/>
        </w:rPr>
        <w:t xml:space="preserve">. </w:t>
      </w:r>
      <w:r w:rsidR="00C938C0" w:rsidRPr="00B568B4">
        <w:rPr>
          <w:rFonts w:ascii="Arial" w:hAnsi="Arial" w:cs="Arial"/>
        </w:rPr>
        <w:t>In order to better describe what it does, and to avoid confusion with the plethora of additional ‘executives’ now operating, t</w:t>
      </w:r>
      <w:r w:rsidR="00CD2B44" w:rsidRPr="00B568B4">
        <w:rPr>
          <w:rFonts w:ascii="Arial" w:hAnsi="Arial" w:cs="Arial"/>
        </w:rPr>
        <w:t xml:space="preserve">hat the Executive Group be renamed the </w:t>
      </w:r>
      <w:r w:rsidR="004F0659" w:rsidRPr="00B568B4">
        <w:rPr>
          <w:rFonts w:ascii="Arial" w:hAnsi="Arial" w:cs="Arial"/>
        </w:rPr>
        <w:t xml:space="preserve">Operations </w:t>
      </w:r>
      <w:r w:rsidR="00CD2B44" w:rsidRPr="00B568B4">
        <w:rPr>
          <w:rFonts w:ascii="Arial" w:hAnsi="Arial" w:cs="Arial"/>
        </w:rPr>
        <w:t>and Finance Committee</w:t>
      </w:r>
      <w:r w:rsidR="00397F91" w:rsidRPr="00B568B4">
        <w:rPr>
          <w:rFonts w:ascii="Arial" w:hAnsi="Arial" w:cs="Arial"/>
        </w:rPr>
        <w:t xml:space="preserve"> (OFC)</w:t>
      </w:r>
      <w:r w:rsidR="00CD2B44" w:rsidRPr="00B568B4">
        <w:rPr>
          <w:rFonts w:ascii="Arial" w:hAnsi="Arial" w:cs="Arial"/>
        </w:rPr>
        <w:t>, and be responsible for all organisational policy-level decision making betw</w:t>
      </w:r>
      <w:r w:rsidR="0003352D" w:rsidRPr="00B568B4">
        <w:rPr>
          <w:rFonts w:ascii="Arial" w:hAnsi="Arial" w:cs="Arial"/>
        </w:rPr>
        <w:t>een Steering Group meetings. It</w:t>
      </w:r>
      <w:r w:rsidR="00CD2B44" w:rsidRPr="00B568B4">
        <w:rPr>
          <w:rFonts w:ascii="Arial" w:hAnsi="Arial" w:cs="Arial"/>
        </w:rPr>
        <w:t>s remit remains much as the Executive Group, with the addition of residual PPG policy decisions that cannot be made by the Editor in Chief.</w:t>
      </w:r>
    </w:p>
    <w:p w:rsidR="00CD2B44" w:rsidRPr="00B568B4" w:rsidRDefault="0003001B"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5</w:t>
      </w:r>
      <w:r w:rsidR="00CD2B44" w:rsidRPr="00B568B4">
        <w:rPr>
          <w:rFonts w:ascii="Arial" w:hAnsi="Arial" w:cs="Arial"/>
        </w:rPr>
        <w:t>. That the PPG be disbanded, now that the majority of its functions have been taken on by the Editor in Chief.</w:t>
      </w:r>
    </w:p>
    <w:p w:rsidR="00AA0D7A" w:rsidRPr="00B568B4" w:rsidRDefault="00AA0D7A"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6. That the Cochrane Library Users Group (CLUG) be retained, but as a discussion forum that can inform the Cochrane Editorial Unit, rather than as an advisory committee to the Steering Group.</w:t>
      </w:r>
    </w:p>
    <w:p w:rsidR="00AA0D7A" w:rsidRPr="00B568B4" w:rsidRDefault="00AA0D7A"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7. That the functions of the Feedback Management Advisory Group (FMAG) be subsumed by the Cochrane Editorial Unit, and that FMAG be disbanded.</w:t>
      </w:r>
    </w:p>
    <w:p w:rsidR="00173341" w:rsidRPr="00B568B4" w:rsidRDefault="00AA0D7A"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8</w:t>
      </w:r>
      <w:r w:rsidR="00173341" w:rsidRPr="00B568B4">
        <w:rPr>
          <w:rFonts w:ascii="Arial" w:hAnsi="Arial" w:cs="Arial"/>
        </w:rPr>
        <w:t>. That the Monitoring and Registration Group be retained as the Monito</w:t>
      </w:r>
      <w:r w:rsidR="00971ED9" w:rsidRPr="00B568B4">
        <w:rPr>
          <w:rFonts w:ascii="Arial" w:hAnsi="Arial" w:cs="Arial"/>
        </w:rPr>
        <w:t>ring a</w:t>
      </w:r>
      <w:r w:rsidR="0003352D" w:rsidRPr="00B568B4">
        <w:rPr>
          <w:rFonts w:ascii="Arial" w:hAnsi="Arial" w:cs="Arial"/>
        </w:rPr>
        <w:t>nd Registration Committee (MRC), that the Colloquium Policy Advisory Group be retained as the Colloquium Policy Advisory Committee (COAC), and that both Committees report to the BFC.</w:t>
      </w:r>
      <w:r w:rsidR="0042627F" w:rsidRPr="00B568B4">
        <w:rPr>
          <w:rFonts w:ascii="Arial" w:hAnsi="Arial" w:cs="Arial"/>
        </w:rPr>
        <w:t xml:space="preserve"> (A separate paper from the Co-Convenors of the MRG on its future role and structure will be considered at the Auckland meeting.)</w:t>
      </w:r>
    </w:p>
    <w:p w:rsidR="0003352D" w:rsidRPr="00B568B4" w:rsidRDefault="00AA0D7A"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lastRenderedPageBreak/>
        <w:t>Recommendation 9</w:t>
      </w:r>
      <w:r w:rsidR="0003352D" w:rsidRPr="00B568B4">
        <w:rPr>
          <w:rFonts w:ascii="Arial" w:hAnsi="Arial" w:cs="Arial"/>
        </w:rPr>
        <w:t>. The Strategic Review identified a number of thematic areas that need to be better co-ordinated in future, and it is proposed that a flexible committee structure operate, with committees formed as and when required, to handle these needs. These committees should report to the BFC, and may include advocacy, capacity building, and partnerships.</w:t>
      </w:r>
    </w:p>
    <w:p w:rsidR="0003352D" w:rsidRPr="00B568B4" w:rsidRDefault="0003352D" w:rsidP="00397F91">
      <w:pPr>
        <w:tabs>
          <w:tab w:val="left" w:pos="1134"/>
          <w:tab w:val="left" w:pos="5110"/>
          <w:tab w:val="left" w:pos="7570"/>
          <w:tab w:val="left" w:pos="10031"/>
          <w:tab w:val="left" w:pos="12492"/>
        </w:tabs>
        <w:spacing w:after="0" w:line="240" w:lineRule="auto"/>
        <w:ind w:left="709"/>
        <w:rPr>
          <w:rFonts w:ascii="Arial" w:hAnsi="Arial" w:cs="Arial"/>
        </w:rPr>
      </w:pPr>
    </w:p>
    <w:p w:rsidR="0003352D" w:rsidRPr="00B568B4" w:rsidRDefault="0003352D" w:rsidP="00397F91">
      <w:pPr>
        <w:tabs>
          <w:tab w:val="left" w:pos="1134"/>
          <w:tab w:val="left" w:pos="5110"/>
          <w:tab w:val="left" w:pos="7570"/>
          <w:tab w:val="left" w:pos="10031"/>
          <w:tab w:val="left" w:pos="12492"/>
        </w:tabs>
        <w:spacing w:after="0" w:line="240" w:lineRule="auto"/>
        <w:ind w:left="709"/>
        <w:rPr>
          <w:rFonts w:ascii="Arial" w:hAnsi="Arial" w:cs="Arial"/>
        </w:rPr>
      </w:pPr>
      <w:r w:rsidRPr="00B568B4">
        <w:rPr>
          <w:rFonts w:ascii="Arial" w:hAnsi="Arial" w:cs="Arial"/>
        </w:rPr>
        <w:t xml:space="preserve">Because of legal restraints, the charity may not indulge in commercial activities that are not core to our charitable purpose, and/or which might constitute a financial risk. Such activities are one of the reasons for having a Trading Company (other key reasons are to do with taxation issues). However, this means that it would be inappropriate for the Collaboration to have a ‘commercial activities’ committee, and consideration of </w:t>
      </w:r>
      <w:r w:rsidR="0042627F" w:rsidRPr="00B568B4">
        <w:rPr>
          <w:rFonts w:ascii="Arial" w:hAnsi="Arial" w:cs="Arial"/>
        </w:rPr>
        <w:t>the management and governance arrangements for these activities (which might include paid-for services such as review production, educational products, etc.)</w:t>
      </w:r>
      <w:r w:rsidRPr="00B568B4">
        <w:rPr>
          <w:rFonts w:ascii="Arial" w:hAnsi="Arial" w:cs="Arial"/>
        </w:rPr>
        <w:t xml:space="preserve"> needs to take place in the context of discussions about the future of the Trading Company.</w:t>
      </w:r>
    </w:p>
    <w:p w:rsidR="00707BF8" w:rsidRPr="00B568B4" w:rsidRDefault="00707BF8" w:rsidP="00397F91">
      <w:pPr>
        <w:tabs>
          <w:tab w:val="left" w:pos="1134"/>
          <w:tab w:val="left" w:pos="5110"/>
          <w:tab w:val="left" w:pos="7570"/>
          <w:tab w:val="left" w:pos="10031"/>
          <w:tab w:val="left" w:pos="12492"/>
        </w:tabs>
        <w:spacing w:after="0" w:line="240" w:lineRule="auto"/>
        <w:ind w:left="709"/>
        <w:rPr>
          <w:rFonts w:ascii="Arial" w:hAnsi="Arial" w:cs="Arial"/>
        </w:rPr>
      </w:pPr>
    </w:p>
    <w:p w:rsidR="00707BF8" w:rsidRPr="00B568B4" w:rsidRDefault="00707BF8" w:rsidP="00397F91">
      <w:pPr>
        <w:tabs>
          <w:tab w:val="left" w:pos="1134"/>
          <w:tab w:val="left" w:pos="5110"/>
          <w:tab w:val="left" w:pos="7570"/>
          <w:tab w:val="left" w:pos="10031"/>
          <w:tab w:val="left" w:pos="12492"/>
        </w:tabs>
        <w:spacing w:after="0" w:line="240" w:lineRule="auto"/>
        <w:ind w:left="709"/>
        <w:rPr>
          <w:rFonts w:ascii="Arial" w:hAnsi="Arial" w:cs="Arial"/>
        </w:rPr>
      </w:pPr>
      <w:r w:rsidRPr="00B568B4">
        <w:rPr>
          <w:rFonts w:ascii="Arial" w:hAnsi="Arial" w:cs="Arial"/>
        </w:rPr>
        <w:t>There are currently a number of committees (IMS Group and sub-committees)</w:t>
      </w:r>
      <w:r w:rsidR="0042627F" w:rsidRPr="00B568B4">
        <w:rPr>
          <w:rFonts w:ascii="Arial" w:hAnsi="Arial" w:cs="Arial"/>
        </w:rPr>
        <w:t xml:space="preserve"> for</w:t>
      </w:r>
      <w:r w:rsidRPr="00B568B4">
        <w:rPr>
          <w:rFonts w:ascii="Arial" w:hAnsi="Arial" w:cs="Arial"/>
        </w:rPr>
        <w:t xml:space="preserve"> Information</w:t>
      </w:r>
      <w:r w:rsidR="0042627F" w:rsidRPr="00B568B4">
        <w:rPr>
          <w:rFonts w:ascii="Arial" w:hAnsi="Arial" w:cs="Arial"/>
        </w:rPr>
        <w:t xml:space="preserve"> </w:t>
      </w:r>
      <w:r w:rsidRPr="00B568B4">
        <w:rPr>
          <w:rFonts w:ascii="Arial" w:hAnsi="Arial" w:cs="Arial"/>
        </w:rPr>
        <w:t xml:space="preserve">Systems </w:t>
      </w:r>
      <w:r w:rsidR="0042627F" w:rsidRPr="00B568B4">
        <w:rPr>
          <w:rFonts w:ascii="Arial" w:hAnsi="Arial" w:cs="Arial"/>
        </w:rPr>
        <w:t xml:space="preserve">and Technology (IS/IT) </w:t>
      </w:r>
      <w:r w:rsidRPr="00B568B4">
        <w:rPr>
          <w:rFonts w:ascii="Arial" w:hAnsi="Arial" w:cs="Arial"/>
        </w:rPr>
        <w:t xml:space="preserve">and Software. These have coalesced into a rigid committee structure reflecting </w:t>
      </w:r>
      <w:r w:rsidR="0042627F" w:rsidRPr="00B568B4">
        <w:rPr>
          <w:rFonts w:ascii="Arial" w:hAnsi="Arial" w:cs="Arial"/>
        </w:rPr>
        <w:t xml:space="preserve">our </w:t>
      </w:r>
      <w:r w:rsidRPr="00B568B4">
        <w:rPr>
          <w:rFonts w:ascii="Arial" w:hAnsi="Arial" w:cs="Arial"/>
        </w:rPr>
        <w:t>needs over the years, but have been criticised as being too focussed on a single system (the IMS) and not sufficiently focussed on other systems (studies registers, website, other software needs, etc.</w:t>
      </w:r>
      <w:r w:rsidR="000A240F" w:rsidRPr="00B568B4">
        <w:rPr>
          <w:rFonts w:ascii="Arial" w:hAnsi="Arial" w:cs="Arial"/>
        </w:rPr>
        <w:t>) and the development of new requirements.</w:t>
      </w:r>
    </w:p>
    <w:p w:rsidR="00707BF8" w:rsidRPr="00B568B4" w:rsidRDefault="00707BF8" w:rsidP="00397F91">
      <w:pPr>
        <w:tabs>
          <w:tab w:val="left" w:pos="1134"/>
          <w:tab w:val="left" w:pos="5110"/>
          <w:tab w:val="left" w:pos="7570"/>
          <w:tab w:val="left" w:pos="10031"/>
          <w:tab w:val="left" w:pos="12492"/>
        </w:tabs>
        <w:spacing w:after="0" w:line="240" w:lineRule="auto"/>
        <w:ind w:left="709"/>
        <w:rPr>
          <w:rFonts w:ascii="Arial" w:hAnsi="Arial" w:cs="Arial"/>
        </w:rPr>
      </w:pPr>
    </w:p>
    <w:p w:rsidR="00AA0D7A" w:rsidRPr="00B568B4" w:rsidRDefault="00AA0D7A" w:rsidP="00397F91">
      <w:pPr>
        <w:pStyle w:val="ListParagraph"/>
        <w:numPr>
          <w:ilvl w:val="0"/>
          <w:numId w:val="12"/>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10</w:t>
      </w:r>
      <w:r w:rsidR="00707BF8" w:rsidRPr="00B568B4">
        <w:rPr>
          <w:rFonts w:ascii="Arial" w:hAnsi="Arial" w:cs="Arial"/>
        </w:rPr>
        <w:t xml:space="preserve">. That a more flexible committee structure be established </w:t>
      </w:r>
      <w:r w:rsidR="000A240F" w:rsidRPr="00B568B4">
        <w:rPr>
          <w:rFonts w:ascii="Arial" w:hAnsi="Arial" w:cs="Arial"/>
        </w:rPr>
        <w:t xml:space="preserve">for </w:t>
      </w:r>
      <w:r w:rsidR="0003001B" w:rsidRPr="00B568B4">
        <w:rPr>
          <w:rFonts w:ascii="Arial" w:hAnsi="Arial" w:cs="Arial"/>
        </w:rPr>
        <w:t xml:space="preserve">IS/IT </w:t>
      </w:r>
      <w:r w:rsidR="000A240F" w:rsidRPr="00B568B4">
        <w:rPr>
          <w:rFonts w:ascii="Arial" w:hAnsi="Arial" w:cs="Arial"/>
        </w:rPr>
        <w:t xml:space="preserve">projects </w:t>
      </w:r>
      <w:r w:rsidR="00707BF8" w:rsidRPr="00B568B4">
        <w:rPr>
          <w:rFonts w:ascii="Arial" w:hAnsi="Arial" w:cs="Arial"/>
        </w:rPr>
        <w:t xml:space="preserve">based on project management principles, with a high level Information Systems Project Board (ISPB) chaired by the Editor in Chief as Client. The ISPB should take as its role the development of high-level </w:t>
      </w:r>
      <w:r w:rsidR="00714CB2" w:rsidRPr="00B568B4">
        <w:rPr>
          <w:rFonts w:ascii="Arial" w:hAnsi="Arial" w:cs="Arial"/>
        </w:rPr>
        <w:t xml:space="preserve">IS/IT </w:t>
      </w:r>
      <w:r w:rsidR="00707BF8" w:rsidRPr="00B568B4">
        <w:rPr>
          <w:rFonts w:ascii="Arial" w:hAnsi="Arial" w:cs="Arial"/>
        </w:rPr>
        <w:t>requirements</w:t>
      </w:r>
      <w:r w:rsidR="00714CB2" w:rsidRPr="00B568B4">
        <w:rPr>
          <w:rFonts w:ascii="Arial" w:hAnsi="Arial" w:cs="Arial"/>
        </w:rPr>
        <w:t xml:space="preserve"> for the production and display of Cochrane systematic reviews and related products</w:t>
      </w:r>
      <w:r w:rsidR="00707BF8" w:rsidRPr="00B568B4">
        <w:rPr>
          <w:rFonts w:ascii="Arial" w:hAnsi="Arial" w:cs="Arial"/>
        </w:rPr>
        <w:t xml:space="preserve">, and oversight of the delivery of solutions to these requirements. </w:t>
      </w:r>
      <w:r w:rsidRPr="00B568B4">
        <w:rPr>
          <w:rFonts w:ascii="Arial" w:hAnsi="Arial" w:cs="Arial"/>
        </w:rPr>
        <w:t>(An example of a functioning Project Board/Advisory Board structure is given in Lucie Jones’ progress paper on the Cochrane Register of Studies project.)</w:t>
      </w:r>
    </w:p>
    <w:p w:rsidR="00707BF8" w:rsidRPr="00B568B4" w:rsidRDefault="00707BF8" w:rsidP="00397F91">
      <w:pPr>
        <w:tabs>
          <w:tab w:val="left" w:pos="1134"/>
          <w:tab w:val="left" w:pos="5110"/>
          <w:tab w:val="left" w:pos="7570"/>
          <w:tab w:val="left" w:pos="10031"/>
          <w:tab w:val="left" w:pos="12492"/>
        </w:tabs>
        <w:spacing w:after="0" w:line="240" w:lineRule="auto"/>
        <w:ind w:left="709"/>
        <w:rPr>
          <w:rFonts w:ascii="Arial" w:hAnsi="Arial" w:cs="Arial"/>
        </w:rPr>
      </w:pPr>
    </w:p>
    <w:p w:rsidR="00707BF8" w:rsidRPr="00B568B4" w:rsidRDefault="00AA0D7A" w:rsidP="00397F91">
      <w:pPr>
        <w:pStyle w:val="ListParagraph"/>
        <w:numPr>
          <w:ilvl w:val="0"/>
          <w:numId w:val="12"/>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11</w:t>
      </w:r>
      <w:r w:rsidR="00707BF8" w:rsidRPr="00B568B4">
        <w:rPr>
          <w:rFonts w:ascii="Arial" w:hAnsi="Arial" w:cs="Arial"/>
        </w:rPr>
        <w:t>. At the next level there should be an Inform</w:t>
      </w:r>
      <w:r w:rsidR="00817B79" w:rsidRPr="00B568B4">
        <w:rPr>
          <w:rFonts w:ascii="Arial" w:hAnsi="Arial" w:cs="Arial"/>
        </w:rPr>
        <w:t>ation Systems Advisory Board (I</w:t>
      </w:r>
      <w:r w:rsidR="00707BF8" w:rsidRPr="00B568B4">
        <w:rPr>
          <w:rFonts w:ascii="Arial" w:hAnsi="Arial" w:cs="Arial"/>
        </w:rPr>
        <w:t xml:space="preserve">SAB), with wide stakeholder representation. The exact composition of these committees (ISPB and ISAB), and the subdivision of the ISAB into project-specific committees </w:t>
      </w:r>
      <w:r w:rsidRPr="00B568B4">
        <w:rPr>
          <w:rFonts w:ascii="Arial" w:hAnsi="Arial" w:cs="Arial"/>
        </w:rPr>
        <w:t xml:space="preserve">such as the RevMan Advisory Group (RAG) and Editorial Management Advisory Group (EMAG) </w:t>
      </w:r>
      <w:r w:rsidR="00707BF8" w:rsidRPr="00B568B4">
        <w:rPr>
          <w:rFonts w:ascii="Arial" w:hAnsi="Arial" w:cs="Arial"/>
        </w:rPr>
        <w:t xml:space="preserve">as required, should be a matter for the Editor in Chief, </w:t>
      </w:r>
      <w:r w:rsidRPr="00B568B4">
        <w:rPr>
          <w:rFonts w:ascii="Arial" w:hAnsi="Arial" w:cs="Arial"/>
        </w:rPr>
        <w:t xml:space="preserve">in discussion with the Project and Advisory Boards, </w:t>
      </w:r>
      <w:r w:rsidR="00707BF8" w:rsidRPr="00B568B4">
        <w:rPr>
          <w:rFonts w:ascii="Arial" w:hAnsi="Arial" w:cs="Arial"/>
        </w:rPr>
        <w:t>and the key themes should be appropriateness and flexibility.</w:t>
      </w:r>
      <w:r w:rsidR="00110D2D" w:rsidRPr="00B568B4">
        <w:rPr>
          <w:rFonts w:ascii="Arial" w:hAnsi="Arial" w:cs="Arial"/>
        </w:rPr>
        <w:t xml:space="preserve"> </w:t>
      </w:r>
    </w:p>
    <w:p w:rsidR="00AA0D7A" w:rsidRPr="00B568B4" w:rsidRDefault="00AA0D7A" w:rsidP="00397F91">
      <w:pPr>
        <w:pStyle w:val="ListParagraph"/>
        <w:tabs>
          <w:tab w:val="left" w:pos="1134"/>
        </w:tabs>
        <w:ind w:left="709"/>
        <w:rPr>
          <w:rFonts w:ascii="Arial" w:hAnsi="Arial" w:cs="Arial"/>
        </w:rPr>
      </w:pPr>
    </w:p>
    <w:p w:rsidR="00817B79" w:rsidRPr="00B568B4" w:rsidRDefault="00817B79" w:rsidP="00397F91">
      <w:pPr>
        <w:tabs>
          <w:tab w:val="left" w:pos="1134"/>
          <w:tab w:val="left" w:pos="5110"/>
          <w:tab w:val="left" w:pos="7570"/>
          <w:tab w:val="left" w:pos="10031"/>
          <w:tab w:val="left" w:pos="12492"/>
        </w:tabs>
        <w:spacing w:after="0" w:line="240" w:lineRule="auto"/>
        <w:ind w:left="709"/>
        <w:rPr>
          <w:rFonts w:ascii="Arial" w:hAnsi="Arial" w:cs="Arial"/>
        </w:rPr>
      </w:pPr>
      <w:r w:rsidRPr="00B568B4">
        <w:rPr>
          <w:rFonts w:ascii="Arial" w:hAnsi="Arial" w:cs="Arial"/>
        </w:rPr>
        <w:t>In organising the ISPB and ISAB and necessary sub committees, the EiC should also consider the financial and environmental costs of having these as face-to-face meetings.</w:t>
      </w:r>
    </w:p>
    <w:p w:rsidR="00817B79" w:rsidRPr="00B568B4" w:rsidRDefault="00817B79" w:rsidP="00397F91">
      <w:pPr>
        <w:tabs>
          <w:tab w:val="left" w:pos="1134"/>
          <w:tab w:val="left" w:pos="5110"/>
          <w:tab w:val="left" w:pos="7570"/>
          <w:tab w:val="left" w:pos="10031"/>
          <w:tab w:val="left" w:pos="12492"/>
        </w:tabs>
        <w:spacing w:after="0" w:line="240" w:lineRule="auto"/>
        <w:ind w:left="709"/>
        <w:rPr>
          <w:rFonts w:ascii="Arial" w:hAnsi="Arial" w:cs="Arial"/>
        </w:rPr>
      </w:pPr>
    </w:p>
    <w:p w:rsidR="000A240F" w:rsidRPr="00B568B4" w:rsidRDefault="000A240F" w:rsidP="00397F91">
      <w:pPr>
        <w:tabs>
          <w:tab w:val="left" w:pos="1134"/>
          <w:tab w:val="left" w:pos="5110"/>
          <w:tab w:val="left" w:pos="7570"/>
          <w:tab w:val="left" w:pos="10031"/>
          <w:tab w:val="left" w:pos="12492"/>
        </w:tabs>
        <w:spacing w:after="0" w:line="240" w:lineRule="auto"/>
        <w:ind w:left="709"/>
        <w:rPr>
          <w:rFonts w:ascii="Arial" w:hAnsi="Arial" w:cs="Arial"/>
        </w:rPr>
      </w:pPr>
      <w:r w:rsidRPr="00B568B4">
        <w:rPr>
          <w:rFonts w:ascii="Arial" w:hAnsi="Arial" w:cs="Arial"/>
        </w:rPr>
        <w:t>The advent of role-specific ‘executives’ is a very positive development. Currently, there is an unwritten expectation that they will communicate to the CCSG through their CCSG member, but this has not been formally adopted. Therefore:</w:t>
      </w:r>
    </w:p>
    <w:p w:rsidR="000A240F" w:rsidRPr="00B568B4" w:rsidRDefault="000A240F" w:rsidP="00397F91">
      <w:pPr>
        <w:tabs>
          <w:tab w:val="left" w:pos="1134"/>
          <w:tab w:val="left" w:pos="5110"/>
          <w:tab w:val="left" w:pos="7570"/>
          <w:tab w:val="left" w:pos="10031"/>
          <w:tab w:val="left" w:pos="12492"/>
        </w:tabs>
        <w:spacing w:after="0" w:line="240" w:lineRule="auto"/>
        <w:ind w:left="709"/>
        <w:rPr>
          <w:rFonts w:ascii="Arial" w:hAnsi="Arial" w:cs="Arial"/>
        </w:rPr>
      </w:pPr>
    </w:p>
    <w:p w:rsidR="000A240F" w:rsidRPr="00B568B4" w:rsidRDefault="0003001B" w:rsidP="00397F91">
      <w:pPr>
        <w:pStyle w:val="ListParagraph"/>
        <w:numPr>
          <w:ilvl w:val="0"/>
          <w:numId w:val="13"/>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1</w:t>
      </w:r>
      <w:r w:rsidR="00AA0D7A" w:rsidRPr="00B568B4">
        <w:rPr>
          <w:rFonts w:ascii="Arial" w:hAnsi="Arial" w:cs="Arial"/>
        </w:rPr>
        <w:t>2</w:t>
      </w:r>
      <w:r w:rsidR="0042627F" w:rsidRPr="00B568B4">
        <w:rPr>
          <w:rFonts w:ascii="Arial" w:hAnsi="Arial" w:cs="Arial"/>
        </w:rPr>
        <w:t xml:space="preserve"> proposes that the e</w:t>
      </w:r>
      <w:r w:rsidR="000A240F" w:rsidRPr="00B568B4">
        <w:rPr>
          <w:rFonts w:ascii="Arial" w:hAnsi="Arial" w:cs="Arial"/>
        </w:rPr>
        <w:t>xecutives and related committees (see</w:t>
      </w:r>
      <w:r w:rsidR="00EC3F51" w:rsidRPr="00B568B4">
        <w:rPr>
          <w:rFonts w:ascii="Arial" w:hAnsi="Arial" w:cs="Arial"/>
        </w:rPr>
        <w:t xml:space="preserve"> Diagram 3</w:t>
      </w:r>
      <w:r w:rsidR="000A240F" w:rsidRPr="00B568B4">
        <w:rPr>
          <w:rFonts w:ascii="Arial" w:hAnsi="Arial" w:cs="Arial"/>
        </w:rPr>
        <w:t>) be formally established in their relationship to the CCSG as advisory through their CCSG representatives, with Executives related to publishing and editorial processes having a second but more practical role as advisory to the Editor in Chief.</w:t>
      </w:r>
    </w:p>
    <w:p w:rsidR="00707BF8" w:rsidRPr="00B568B4" w:rsidRDefault="00707BF8" w:rsidP="00F708C9">
      <w:pPr>
        <w:tabs>
          <w:tab w:val="left" w:pos="2650"/>
          <w:tab w:val="left" w:pos="5110"/>
          <w:tab w:val="left" w:pos="7570"/>
          <w:tab w:val="left" w:pos="10031"/>
          <w:tab w:val="left" w:pos="12492"/>
        </w:tabs>
        <w:spacing w:after="0" w:line="240" w:lineRule="auto"/>
        <w:rPr>
          <w:rFonts w:ascii="Arial" w:hAnsi="Arial" w:cs="Arial"/>
        </w:rPr>
      </w:pPr>
    </w:p>
    <w:p w:rsidR="00EF5ABA" w:rsidRPr="00B568B4" w:rsidRDefault="004C7DED" w:rsidP="00EE0CCB">
      <w:pPr>
        <w:tabs>
          <w:tab w:val="left" w:pos="2650"/>
          <w:tab w:val="left" w:pos="5110"/>
          <w:tab w:val="left" w:pos="7570"/>
          <w:tab w:val="left" w:pos="10031"/>
          <w:tab w:val="left" w:pos="12492"/>
        </w:tabs>
        <w:spacing w:after="0" w:line="240" w:lineRule="auto"/>
        <w:rPr>
          <w:rFonts w:ascii="Arial" w:hAnsi="Arial" w:cs="Arial"/>
          <w:b/>
        </w:rPr>
      </w:pPr>
      <w:r>
        <w:rPr>
          <w:rFonts w:ascii="Arial" w:hAnsi="Arial" w:cs="Arial"/>
          <w:b/>
          <w:noProof/>
          <w:lang w:val="en-US"/>
        </w:rPr>
        <w:lastRenderedPageBreak/>
        <w:drawing>
          <wp:inline distT="0" distB="0" distL="0" distR="0">
            <wp:extent cx="6096000" cy="2667000"/>
            <wp:effectExtent l="19050" t="0" r="0" b="0"/>
            <wp:docPr id="2" name="Picture 2" descr="Committees - proposed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mittees - proposed change"/>
                    <pic:cNvPicPr>
                      <a:picLocks noChangeAspect="1" noChangeArrowheads="1"/>
                    </pic:cNvPicPr>
                  </pic:nvPicPr>
                  <pic:blipFill>
                    <a:blip r:embed="rId11" cstate="print"/>
                    <a:srcRect/>
                    <a:stretch>
                      <a:fillRect/>
                    </a:stretch>
                  </pic:blipFill>
                  <pic:spPr bwMode="auto">
                    <a:xfrm>
                      <a:off x="0" y="0"/>
                      <a:ext cx="6096000" cy="2667000"/>
                    </a:xfrm>
                    <a:prstGeom prst="rect">
                      <a:avLst/>
                    </a:prstGeom>
                    <a:noFill/>
                    <a:ln w="9525">
                      <a:noFill/>
                      <a:miter lim="800000"/>
                      <a:headEnd/>
                      <a:tailEnd/>
                    </a:ln>
                  </pic:spPr>
                </pic:pic>
              </a:graphicData>
            </a:graphic>
          </wp:inline>
        </w:drawing>
      </w:r>
    </w:p>
    <w:p w:rsidR="00D72801" w:rsidRPr="00B568B4" w:rsidRDefault="00D72801" w:rsidP="00D72801">
      <w:pPr>
        <w:tabs>
          <w:tab w:val="left" w:pos="2650"/>
          <w:tab w:val="left" w:pos="5110"/>
          <w:tab w:val="left" w:pos="7570"/>
          <w:tab w:val="left" w:pos="10031"/>
          <w:tab w:val="left" w:pos="12492"/>
        </w:tabs>
        <w:spacing w:after="0" w:line="240" w:lineRule="auto"/>
        <w:rPr>
          <w:rFonts w:ascii="Arial" w:hAnsi="Arial" w:cs="Arial"/>
          <w:b/>
        </w:rPr>
      </w:pPr>
      <w:r w:rsidRPr="00B568B4">
        <w:rPr>
          <w:rFonts w:ascii="Arial" w:hAnsi="Arial" w:cs="Arial"/>
          <w:b/>
        </w:rPr>
        <w:t>Diagram 2: Proposed changes to CCSG committee structure</w:t>
      </w:r>
    </w:p>
    <w:p w:rsidR="00EF5ABA" w:rsidRPr="00B568B4" w:rsidRDefault="00EF5ABA" w:rsidP="00EE0CCB">
      <w:pPr>
        <w:tabs>
          <w:tab w:val="left" w:pos="2650"/>
          <w:tab w:val="left" w:pos="5110"/>
          <w:tab w:val="left" w:pos="7570"/>
          <w:tab w:val="left" w:pos="10031"/>
          <w:tab w:val="left" w:pos="12492"/>
        </w:tabs>
        <w:spacing w:after="0" w:line="240" w:lineRule="auto"/>
        <w:rPr>
          <w:rFonts w:ascii="Arial" w:hAnsi="Arial" w:cs="Arial"/>
        </w:rPr>
      </w:pPr>
    </w:p>
    <w:p w:rsidR="002D2C06" w:rsidRPr="00B568B4" w:rsidRDefault="002D2C06" w:rsidP="00EE0CCB">
      <w:pPr>
        <w:tabs>
          <w:tab w:val="left" w:pos="2650"/>
          <w:tab w:val="left" w:pos="5110"/>
          <w:tab w:val="left" w:pos="7570"/>
          <w:tab w:val="left" w:pos="10031"/>
          <w:tab w:val="left" w:pos="12492"/>
        </w:tabs>
        <w:spacing w:after="0" w:line="240" w:lineRule="auto"/>
        <w:rPr>
          <w:rFonts w:ascii="Arial" w:hAnsi="Arial" w:cs="Arial"/>
          <w:b/>
        </w:rPr>
      </w:pPr>
    </w:p>
    <w:p w:rsidR="00AF1742" w:rsidRPr="00B568B4" w:rsidRDefault="004C7DED" w:rsidP="00EE0CCB">
      <w:pPr>
        <w:tabs>
          <w:tab w:val="left" w:pos="2650"/>
          <w:tab w:val="left" w:pos="5110"/>
          <w:tab w:val="left" w:pos="7570"/>
          <w:tab w:val="left" w:pos="10031"/>
          <w:tab w:val="left" w:pos="12492"/>
        </w:tabs>
        <w:spacing w:after="0" w:line="240" w:lineRule="auto"/>
        <w:rPr>
          <w:rFonts w:ascii="Arial" w:hAnsi="Arial" w:cs="Arial"/>
          <w:b/>
        </w:rPr>
      </w:pPr>
      <w:r>
        <w:rPr>
          <w:rFonts w:ascii="Arial" w:hAnsi="Arial" w:cs="Arial"/>
          <w:b/>
          <w:noProof/>
          <w:lang w:val="en-US"/>
        </w:rPr>
        <w:drawing>
          <wp:inline distT="0" distB="0" distL="0" distR="0">
            <wp:extent cx="6105525" cy="2343150"/>
            <wp:effectExtent l="19050" t="0" r="9525" b="0"/>
            <wp:docPr id="3" name="Picture 3" descr="Committees - proposed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ittees - proposed structure"/>
                    <pic:cNvPicPr>
                      <a:picLocks noChangeAspect="1" noChangeArrowheads="1"/>
                    </pic:cNvPicPr>
                  </pic:nvPicPr>
                  <pic:blipFill>
                    <a:blip r:embed="rId12" cstate="print"/>
                    <a:srcRect/>
                    <a:stretch>
                      <a:fillRect/>
                    </a:stretch>
                  </pic:blipFill>
                  <pic:spPr bwMode="auto">
                    <a:xfrm>
                      <a:off x="0" y="0"/>
                      <a:ext cx="6105525" cy="2343150"/>
                    </a:xfrm>
                    <a:prstGeom prst="rect">
                      <a:avLst/>
                    </a:prstGeom>
                    <a:noFill/>
                    <a:ln w="9525">
                      <a:noFill/>
                      <a:miter lim="800000"/>
                      <a:headEnd/>
                      <a:tailEnd/>
                    </a:ln>
                  </pic:spPr>
                </pic:pic>
              </a:graphicData>
            </a:graphic>
          </wp:inline>
        </w:drawing>
      </w:r>
    </w:p>
    <w:p w:rsidR="00EF5ABA" w:rsidRPr="00B568B4" w:rsidRDefault="00D72801" w:rsidP="00EE0CCB">
      <w:pPr>
        <w:tabs>
          <w:tab w:val="left" w:pos="2650"/>
          <w:tab w:val="left" w:pos="5110"/>
          <w:tab w:val="left" w:pos="7570"/>
          <w:tab w:val="left" w:pos="10031"/>
          <w:tab w:val="left" w:pos="12492"/>
        </w:tabs>
        <w:spacing w:after="0" w:line="240" w:lineRule="auto"/>
        <w:rPr>
          <w:rFonts w:ascii="Arial" w:hAnsi="Arial" w:cs="Arial"/>
          <w:b/>
        </w:rPr>
      </w:pPr>
      <w:r w:rsidRPr="00B568B4">
        <w:rPr>
          <w:rFonts w:ascii="Arial" w:hAnsi="Arial" w:cs="Arial"/>
          <w:b/>
        </w:rPr>
        <w:t>Diagram 3</w:t>
      </w:r>
      <w:r w:rsidR="002D2C06" w:rsidRPr="00B568B4">
        <w:rPr>
          <w:rFonts w:ascii="Arial" w:hAnsi="Arial" w:cs="Arial"/>
          <w:b/>
        </w:rPr>
        <w:t>:</w:t>
      </w:r>
      <w:r w:rsidRPr="00B568B4">
        <w:rPr>
          <w:rFonts w:ascii="Arial" w:hAnsi="Arial" w:cs="Arial"/>
          <w:b/>
        </w:rPr>
        <w:t xml:space="preserve"> </w:t>
      </w:r>
      <w:r w:rsidR="002D2C06" w:rsidRPr="00B568B4">
        <w:rPr>
          <w:rFonts w:ascii="Arial" w:hAnsi="Arial" w:cs="Arial"/>
          <w:b/>
        </w:rPr>
        <w:t>Proposed new</w:t>
      </w:r>
      <w:r w:rsidRPr="00B568B4">
        <w:rPr>
          <w:rFonts w:ascii="Arial" w:hAnsi="Arial" w:cs="Arial"/>
          <w:b/>
        </w:rPr>
        <w:t xml:space="preserve"> committee structure.</w:t>
      </w:r>
    </w:p>
    <w:p w:rsidR="00EF5ABA" w:rsidRPr="00B568B4" w:rsidRDefault="00EF5ABA" w:rsidP="00EE0CCB">
      <w:pPr>
        <w:tabs>
          <w:tab w:val="left" w:pos="2650"/>
          <w:tab w:val="left" w:pos="5110"/>
          <w:tab w:val="left" w:pos="7570"/>
          <w:tab w:val="left" w:pos="10031"/>
          <w:tab w:val="left" w:pos="12492"/>
        </w:tabs>
        <w:spacing w:after="0" w:line="240" w:lineRule="auto"/>
        <w:rPr>
          <w:rFonts w:ascii="Arial" w:hAnsi="Arial" w:cs="Arial"/>
        </w:rPr>
      </w:pPr>
    </w:p>
    <w:p w:rsidR="0003001B" w:rsidRPr="00B568B4" w:rsidRDefault="0003001B" w:rsidP="00EE0CCB">
      <w:p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b/>
        </w:rPr>
        <w:t>Summary of recommendations</w:t>
      </w:r>
    </w:p>
    <w:p w:rsidR="0003001B" w:rsidRPr="00B568B4" w:rsidRDefault="0003001B" w:rsidP="00EE0CCB">
      <w:pPr>
        <w:tabs>
          <w:tab w:val="left" w:pos="2650"/>
          <w:tab w:val="left" w:pos="5110"/>
          <w:tab w:val="left" w:pos="7570"/>
          <w:tab w:val="left" w:pos="10031"/>
          <w:tab w:val="left" w:pos="12492"/>
        </w:tabs>
        <w:spacing w:after="0" w:line="240" w:lineRule="auto"/>
        <w:rPr>
          <w:rFonts w:ascii="Arial" w:hAnsi="Arial" w:cs="Arial"/>
        </w:rPr>
      </w:pPr>
    </w:p>
    <w:p w:rsidR="00397F91" w:rsidRPr="00B568B4" w:rsidRDefault="00397F91" w:rsidP="00397F91">
      <w:pPr>
        <w:pStyle w:val="ListParagraph"/>
        <w:numPr>
          <w:ilvl w:val="0"/>
          <w:numId w:val="7"/>
        </w:numPr>
        <w:tabs>
          <w:tab w:val="left" w:pos="851"/>
          <w:tab w:val="left" w:pos="5110"/>
          <w:tab w:val="left" w:pos="7570"/>
          <w:tab w:val="left" w:pos="10031"/>
          <w:tab w:val="left" w:pos="12492"/>
        </w:tabs>
        <w:spacing w:after="0" w:line="240" w:lineRule="auto"/>
        <w:ind w:left="851" w:hanging="425"/>
        <w:rPr>
          <w:rFonts w:ascii="Arial" w:hAnsi="Arial" w:cs="Arial"/>
        </w:rPr>
      </w:pPr>
      <w:r w:rsidRPr="00B568B4">
        <w:rPr>
          <w:rFonts w:ascii="Arial" w:hAnsi="Arial" w:cs="Arial"/>
        </w:rPr>
        <w:t>Recommendation 1: To focus and clarify the roles, by reducing the number of seats on the CCSG, particularly reducing the number of duplicate seats; and</w:t>
      </w:r>
    </w:p>
    <w:p w:rsidR="00397F91" w:rsidRPr="00B568B4" w:rsidRDefault="00397F91" w:rsidP="00397F91">
      <w:pPr>
        <w:pStyle w:val="ListParagraph"/>
        <w:numPr>
          <w:ilvl w:val="0"/>
          <w:numId w:val="7"/>
        </w:numPr>
        <w:tabs>
          <w:tab w:val="left" w:pos="851"/>
          <w:tab w:val="left" w:pos="5110"/>
          <w:tab w:val="left" w:pos="7570"/>
          <w:tab w:val="left" w:pos="10031"/>
          <w:tab w:val="left" w:pos="12492"/>
        </w:tabs>
        <w:spacing w:after="0" w:line="240" w:lineRule="auto"/>
        <w:ind w:left="851" w:hanging="425"/>
        <w:rPr>
          <w:rFonts w:ascii="Arial" w:hAnsi="Arial" w:cs="Arial"/>
        </w:rPr>
      </w:pPr>
      <w:r w:rsidRPr="00B568B4">
        <w:rPr>
          <w:rFonts w:ascii="Arial" w:hAnsi="Arial" w:cs="Arial"/>
        </w:rPr>
        <w:t>Recommendation 2: To further focus and clarify the roles, and improve alignment with the Collaboration’s purposes, by identifying members’ ‘portfolios’ (as already being piloted). The portfolio system identifies specific CCSG members to have oversight of the following areas:</w:t>
      </w:r>
    </w:p>
    <w:p w:rsidR="00397F91" w:rsidRPr="00B568B4" w:rsidRDefault="00397F91" w:rsidP="00397F91">
      <w:pPr>
        <w:tabs>
          <w:tab w:val="left" w:pos="2650"/>
          <w:tab w:val="left" w:pos="5110"/>
          <w:tab w:val="left" w:pos="7570"/>
          <w:tab w:val="left" w:pos="10031"/>
          <w:tab w:val="left" w:pos="12492"/>
        </w:tabs>
        <w:spacing w:after="0" w:line="240" w:lineRule="auto"/>
        <w:rPr>
          <w:rFonts w:ascii="Arial" w:hAnsi="Arial" w:cs="Arial"/>
        </w:rPr>
      </w:pPr>
    </w:p>
    <w:p w:rsidR="00397F91" w:rsidRPr="00B568B4" w:rsidRDefault="00397F91" w:rsidP="00397F91">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Organisation and Administration</w:t>
      </w:r>
    </w:p>
    <w:p w:rsidR="00397F91" w:rsidRPr="00B568B4" w:rsidRDefault="00397F91" w:rsidP="00397F91">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Finance and Sustainability</w:t>
      </w:r>
    </w:p>
    <w:p w:rsidR="00397F91" w:rsidRPr="00B568B4" w:rsidRDefault="00397F91" w:rsidP="00397F91">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Products</w:t>
      </w:r>
    </w:p>
    <w:p w:rsidR="00397F91" w:rsidRPr="00B568B4" w:rsidRDefault="00397F91" w:rsidP="00397F91">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External Partnerships</w:t>
      </w:r>
    </w:p>
    <w:p w:rsidR="00397F91" w:rsidRPr="00B568B4" w:rsidRDefault="00397F91" w:rsidP="00397F91">
      <w:pPr>
        <w:pStyle w:val="ListParagraph"/>
        <w:numPr>
          <w:ilvl w:val="1"/>
          <w:numId w:val="7"/>
        </w:numPr>
        <w:tabs>
          <w:tab w:val="left" w:pos="2650"/>
          <w:tab w:val="left" w:pos="5110"/>
          <w:tab w:val="left" w:pos="7570"/>
          <w:tab w:val="left" w:pos="10031"/>
          <w:tab w:val="left" w:pos="12492"/>
        </w:tabs>
        <w:spacing w:after="0" w:line="240" w:lineRule="auto"/>
        <w:rPr>
          <w:rFonts w:ascii="Arial" w:hAnsi="Arial" w:cs="Arial"/>
        </w:rPr>
      </w:pPr>
      <w:r w:rsidRPr="00B568B4">
        <w:rPr>
          <w:rFonts w:ascii="Arial" w:hAnsi="Arial" w:cs="Arial"/>
        </w:rPr>
        <w:t>Knowledge Infrastructure</w:t>
      </w:r>
    </w:p>
    <w:p w:rsidR="00397F91" w:rsidRPr="00B568B4" w:rsidRDefault="00397F91" w:rsidP="00EE0CCB">
      <w:pPr>
        <w:tabs>
          <w:tab w:val="left" w:pos="2650"/>
          <w:tab w:val="left" w:pos="5110"/>
          <w:tab w:val="left" w:pos="7570"/>
          <w:tab w:val="left" w:pos="10031"/>
          <w:tab w:val="left" w:pos="12492"/>
        </w:tabs>
        <w:spacing w:after="0" w:line="240" w:lineRule="auto"/>
        <w:rPr>
          <w:rFonts w:ascii="Arial" w:hAnsi="Arial" w:cs="Arial"/>
        </w:rPr>
      </w:pP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14" w:hanging="5"/>
        <w:rPr>
          <w:rFonts w:ascii="Arial" w:hAnsi="Arial" w:cs="Arial"/>
        </w:rPr>
      </w:pPr>
      <w:r w:rsidRPr="00B568B4">
        <w:rPr>
          <w:rFonts w:ascii="Arial" w:hAnsi="Arial" w:cs="Arial"/>
        </w:rPr>
        <w:t>Recommendation 3: that the Collaboration use the word ‘committee’ to describe its committees, rather than the word ‘group’.</w:t>
      </w: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lastRenderedPageBreak/>
        <w:t>Recommendation 4. In order to better describe what it does, and to avoid confusion with the plethora of additional ‘executives’ now operating, that the Executive Group be renamed the Operations and Finance Committee (OFC), and be responsible for all organisational policy-level decision making between Steering Group meetings. Its remit remains much as the Executive Group, with the addition of residual PPG policy decisions that cannot be made by the Editor in Chief.</w:t>
      </w: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5. That the PPG be disbanded, now that the majority of its functions have been taken on by the Editor in Chief.</w:t>
      </w: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6. That the Cochrane Library Users Group (CLUG) be retained, but as a discussion forum that can inform the Cochrane Editorial Unit, rather than as an advisory committee to the Steering Group.</w:t>
      </w: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7. That the functions of the Feedback Management Advisory Group (FMAG) be subsumed by the Cochrane Editorial Unit, and that FMAG be disbanded.</w:t>
      </w: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8. That the Monitoring and Registration Group be retained as the Monitoring and Registration Committee (MRC), that the Colloquium Policy Advisory Group be retained as the Colloquium Policy Advisory Committee (COAC), and that both Committees report to the BFC. (A separate paper from the Co-Convenors of the MRG on its future role and structure will be considered at the Auckland meeting.)</w:t>
      </w:r>
    </w:p>
    <w:p w:rsidR="00397F91" w:rsidRPr="00B568B4" w:rsidRDefault="00397F91" w:rsidP="00397F91">
      <w:pPr>
        <w:pStyle w:val="ListParagraph"/>
        <w:numPr>
          <w:ilvl w:val="0"/>
          <w:numId w:val="11"/>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9. The Strategic Review identified a number of thematic areas that need to be better co-ordinated in future, and it is proposed that a flexible committee structure operate, with committees formed as and when required, to handle these needs. These committees should report to the BFC, and may include advocacy, capacity building, and partnerships.</w:t>
      </w:r>
    </w:p>
    <w:p w:rsidR="00397F91" w:rsidRPr="00B568B4" w:rsidRDefault="00397F91" w:rsidP="00397F91">
      <w:pPr>
        <w:pStyle w:val="ListParagraph"/>
        <w:numPr>
          <w:ilvl w:val="0"/>
          <w:numId w:val="12"/>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10. That a more flexible committee structure be established for IS/IT projects based on project management principles, with a high level Information Systems Project Board (ISPB) chaired by the Editor in Chief as Client. The ISPB should take as its role the development of high-level IS/IT requirements for the production and display of Cochrane systematic reviews and related products, and oversight of the delivery of solutions to these requirements. (An example of a functioning Project Board/Advisory Board structure is given in Lucie Jones’ progress paper on the Cochrane Register of Studies project.)</w:t>
      </w:r>
    </w:p>
    <w:p w:rsidR="00397F91" w:rsidRPr="00B568B4" w:rsidRDefault="00397F91" w:rsidP="00397F91">
      <w:pPr>
        <w:pStyle w:val="ListParagraph"/>
        <w:numPr>
          <w:ilvl w:val="0"/>
          <w:numId w:val="12"/>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 xml:space="preserve">Recommendation 11. At the next level there should be an Information Systems Advisory Board (ISAB), with wide stakeholder representation. The exact composition of these committees (ISPB and ISAB), and the subdivision of the ISAB into project-specific committees such as the RevMan Advisory Group (RAG) and Editorial Management Advisory Group (EMAG) as required, should be a matter for the Editor in Chief, in discussion with the Project and Advisory Boards, and the key themes should be appropriateness and flexibility. </w:t>
      </w:r>
    </w:p>
    <w:p w:rsidR="00397F91" w:rsidRPr="00B568B4" w:rsidRDefault="00397F91" w:rsidP="00397F91">
      <w:pPr>
        <w:pStyle w:val="ListParagraph"/>
        <w:numPr>
          <w:ilvl w:val="0"/>
          <w:numId w:val="13"/>
        </w:numPr>
        <w:tabs>
          <w:tab w:val="left" w:pos="1134"/>
          <w:tab w:val="left" w:pos="5110"/>
          <w:tab w:val="left" w:pos="7570"/>
          <w:tab w:val="left" w:pos="10031"/>
          <w:tab w:val="left" w:pos="12492"/>
        </w:tabs>
        <w:spacing w:after="0" w:line="240" w:lineRule="auto"/>
        <w:ind w:left="709" w:firstLine="0"/>
        <w:rPr>
          <w:rFonts w:ascii="Arial" w:hAnsi="Arial" w:cs="Arial"/>
        </w:rPr>
      </w:pPr>
      <w:r w:rsidRPr="00B568B4">
        <w:rPr>
          <w:rFonts w:ascii="Arial" w:hAnsi="Arial" w:cs="Arial"/>
        </w:rPr>
        <w:t>Recommendation 12 proposes that the executives and related committees (see Diagram 3) be formally established in their relationship to the CCSG as advisory through their CCSG representatives, with Executives related to publishing and editorial processes having a second but more practical role as advisory to the Editor in Chief.</w:t>
      </w:r>
    </w:p>
    <w:p w:rsidR="0003001B" w:rsidRPr="00B568B4" w:rsidRDefault="0003001B" w:rsidP="00EE0CCB">
      <w:pPr>
        <w:tabs>
          <w:tab w:val="left" w:pos="2650"/>
          <w:tab w:val="left" w:pos="5110"/>
          <w:tab w:val="left" w:pos="7570"/>
          <w:tab w:val="left" w:pos="10031"/>
          <w:tab w:val="left" w:pos="12492"/>
        </w:tabs>
        <w:spacing w:after="0" w:line="240" w:lineRule="auto"/>
        <w:rPr>
          <w:rFonts w:ascii="Arial" w:hAnsi="Arial" w:cs="Arial"/>
        </w:rPr>
      </w:pPr>
    </w:p>
    <w:p w:rsidR="00397F91" w:rsidRPr="00B568B4" w:rsidRDefault="00397F91" w:rsidP="00EE0CCB">
      <w:pPr>
        <w:tabs>
          <w:tab w:val="left" w:pos="2650"/>
          <w:tab w:val="left" w:pos="5110"/>
          <w:tab w:val="left" w:pos="7570"/>
          <w:tab w:val="left" w:pos="10031"/>
          <w:tab w:val="left" w:pos="12492"/>
        </w:tabs>
        <w:spacing w:after="0" w:line="240" w:lineRule="auto"/>
        <w:rPr>
          <w:rFonts w:ascii="Arial" w:hAnsi="Arial" w:cs="Arial"/>
        </w:rPr>
      </w:pPr>
    </w:p>
    <w:p w:rsidR="00F33B15" w:rsidRPr="00B568B4" w:rsidRDefault="006A7283">
      <w:pPr>
        <w:spacing w:after="0" w:line="240" w:lineRule="auto"/>
        <w:rPr>
          <w:rFonts w:ascii="Arial" w:hAnsi="Arial" w:cs="Arial"/>
        </w:rPr>
      </w:pPr>
      <w:r w:rsidRPr="00B568B4">
        <w:rPr>
          <w:rFonts w:ascii="Arial" w:hAnsi="Arial" w:cs="Arial"/>
          <w:b/>
        </w:rPr>
        <w:t>Resource implications</w:t>
      </w:r>
    </w:p>
    <w:p w:rsidR="006A7283" w:rsidRPr="00B568B4" w:rsidRDefault="006A7283">
      <w:pPr>
        <w:spacing w:after="0" w:line="240" w:lineRule="auto"/>
        <w:rPr>
          <w:rFonts w:ascii="Arial" w:hAnsi="Arial" w:cs="Arial"/>
        </w:rPr>
      </w:pPr>
    </w:p>
    <w:p w:rsidR="006A7283" w:rsidRPr="00B568B4" w:rsidRDefault="00817B79">
      <w:pPr>
        <w:spacing w:after="0" w:line="240" w:lineRule="auto"/>
        <w:rPr>
          <w:rFonts w:ascii="Arial" w:hAnsi="Arial" w:cs="Arial"/>
        </w:rPr>
      </w:pPr>
      <w:r w:rsidRPr="00B568B4">
        <w:rPr>
          <w:rFonts w:ascii="Arial" w:hAnsi="Arial" w:cs="Arial"/>
          <w:u w:val="single"/>
        </w:rPr>
        <w:t xml:space="preserve">CCSG membership - </w:t>
      </w:r>
      <w:r w:rsidR="006A7283" w:rsidRPr="00B568B4">
        <w:rPr>
          <w:rFonts w:ascii="Arial" w:hAnsi="Arial" w:cs="Arial"/>
          <w:u w:val="single"/>
        </w:rPr>
        <w:t>Option 1</w:t>
      </w:r>
      <w:r w:rsidRPr="00B568B4">
        <w:rPr>
          <w:rFonts w:ascii="Arial" w:hAnsi="Arial" w:cs="Arial"/>
          <w:u w:val="single"/>
        </w:rPr>
        <w:t>:</w:t>
      </w:r>
      <w:r w:rsidRPr="00B568B4">
        <w:rPr>
          <w:rFonts w:ascii="Arial" w:hAnsi="Arial" w:cs="Arial"/>
        </w:rPr>
        <w:t xml:space="preserve"> Reduction of 4/17 of normal cost of travel and subsistence for CCSG members attending Mid-year and Colloquium meetings. </w:t>
      </w:r>
    </w:p>
    <w:p w:rsidR="00817B79" w:rsidRPr="00B568B4" w:rsidRDefault="00817B79">
      <w:pPr>
        <w:spacing w:after="0" w:line="240" w:lineRule="auto"/>
        <w:rPr>
          <w:rFonts w:ascii="Arial" w:hAnsi="Arial" w:cs="Arial"/>
        </w:rPr>
      </w:pPr>
    </w:p>
    <w:p w:rsidR="00817B79" w:rsidRPr="00B568B4" w:rsidRDefault="00817B79">
      <w:pPr>
        <w:spacing w:after="0" w:line="240" w:lineRule="auto"/>
        <w:rPr>
          <w:rFonts w:ascii="Arial" w:hAnsi="Arial" w:cs="Arial"/>
        </w:rPr>
      </w:pPr>
      <w:r w:rsidRPr="00B568B4">
        <w:rPr>
          <w:rFonts w:ascii="Arial" w:hAnsi="Arial" w:cs="Arial"/>
          <w:u w:val="single"/>
        </w:rPr>
        <w:t>CCSG membership - Option 2:</w:t>
      </w:r>
      <w:r w:rsidRPr="00B568B4">
        <w:rPr>
          <w:rFonts w:ascii="Arial" w:hAnsi="Arial" w:cs="Arial"/>
        </w:rPr>
        <w:t xml:space="preserve"> Reduction of up to 8/17 of normal travel and subsistence cost.</w:t>
      </w:r>
    </w:p>
    <w:p w:rsidR="00817B79" w:rsidRPr="00B568B4" w:rsidRDefault="00817B79">
      <w:pPr>
        <w:spacing w:after="0" w:line="240" w:lineRule="auto"/>
        <w:rPr>
          <w:rFonts w:ascii="Arial" w:hAnsi="Arial" w:cs="Arial"/>
        </w:rPr>
      </w:pPr>
    </w:p>
    <w:p w:rsidR="00817B79" w:rsidRPr="00B568B4" w:rsidRDefault="00817B79">
      <w:pPr>
        <w:spacing w:after="0" w:line="240" w:lineRule="auto"/>
        <w:rPr>
          <w:rFonts w:ascii="Arial" w:hAnsi="Arial" w:cs="Arial"/>
        </w:rPr>
      </w:pPr>
      <w:r w:rsidRPr="00B568B4">
        <w:rPr>
          <w:rFonts w:ascii="Arial" w:hAnsi="Arial" w:cs="Arial"/>
          <w:u w:val="single"/>
        </w:rPr>
        <w:t>CCSG membership - Option 3:</w:t>
      </w:r>
      <w:r w:rsidRPr="00B568B4">
        <w:rPr>
          <w:rFonts w:ascii="Arial" w:hAnsi="Arial" w:cs="Arial"/>
        </w:rPr>
        <w:t xml:space="preserve"> Reduction of 10/17 of normal travel and subsistence cost. Removal of the need for a mid-year meeting has the potential to reduce costs further, but replacing this with </w:t>
      </w:r>
      <w:r w:rsidRPr="00B568B4">
        <w:rPr>
          <w:rFonts w:ascii="Arial" w:hAnsi="Arial" w:cs="Arial"/>
        </w:rPr>
        <w:lastRenderedPageBreak/>
        <w:t>a Cochrane Leadership Summit will bring the costs up again. As funding has already been identified to support Executives in attending the annual Strategic Session, the actual cost increase of having such a session may be less than anticipated, particularly if an income generating seminar or conference is held (as is common with current mid-year meetings).</w:t>
      </w:r>
    </w:p>
    <w:p w:rsidR="00F33B15" w:rsidRPr="00B568B4" w:rsidRDefault="00F33B15">
      <w:pPr>
        <w:spacing w:after="0" w:line="240" w:lineRule="auto"/>
        <w:rPr>
          <w:rFonts w:ascii="Arial" w:hAnsi="Arial" w:cs="Arial"/>
        </w:rPr>
      </w:pPr>
    </w:p>
    <w:p w:rsidR="00817B79" w:rsidRPr="00B568B4" w:rsidRDefault="00817B79">
      <w:pPr>
        <w:spacing w:after="0" w:line="240" w:lineRule="auto"/>
        <w:rPr>
          <w:rFonts w:ascii="Arial" w:hAnsi="Arial" w:cs="Arial"/>
        </w:rPr>
      </w:pPr>
      <w:r w:rsidRPr="00B568B4">
        <w:rPr>
          <w:rFonts w:ascii="Arial" w:hAnsi="Arial" w:cs="Arial"/>
          <w:b/>
        </w:rPr>
        <w:t>Impact statement</w:t>
      </w:r>
      <w:r w:rsidRPr="00B568B4">
        <w:rPr>
          <w:rFonts w:ascii="Arial" w:hAnsi="Arial" w:cs="Arial"/>
        </w:rPr>
        <w:t xml:space="preserve"> see ICT form.</w:t>
      </w:r>
    </w:p>
    <w:p w:rsidR="00817B79" w:rsidRPr="00B568B4" w:rsidRDefault="00817B79">
      <w:pPr>
        <w:spacing w:after="0" w:line="240" w:lineRule="auto"/>
        <w:rPr>
          <w:rFonts w:ascii="Arial" w:hAnsi="Arial" w:cs="Arial"/>
        </w:rPr>
      </w:pPr>
    </w:p>
    <w:p w:rsidR="00817B79" w:rsidRPr="00B568B4" w:rsidRDefault="00817B79">
      <w:pPr>
        <w:spacing w:after="0" w:line="240" w:lineRule="auto"/>
        <w:rPr>
          <w:rFonts w:ascii="Arial" w:hAnsi="Arial" w:cs="Arial"/>
        </w:rPr>
      </w:pPr>
      <w:r w:rsidRPr="00B568B4">
        <w:rPr>
          <w:rFonts w:ascii="Arial" w:hAnsi="Arial" w:cs="Arial"/>
          <w:b/>
        </w:rPr>
        <w:t>Decision required of the Steering Group</w:t>
      </w:r>
    </w:p>
    <w:p w:rsidR="00817B79" w:rsidRPr="00B568B4" w:rsidRDefault="00817B79">
      <w:pPr>
        <w:spacing w:after="0" w:line="240" w:lineRule="auto"/>
        <w:rPr>
          <w:rFonts w:ascii="Arial" w:hAnsi="Arial" w:cs="Arial"/>
        </w:rPr>
      </w:pPr>
    </w:p>
    <w:p w:rsidR="00817B79" w:rsidRPr="00B568B4" w:rsidRDefault="00817B79">
      <w:pPr>
        <w:spacing w:after="0" w:line="240" w:lineRule="auto"/>
        <w:rPr>
          <w:rFonts w:ascii="Arial" w:hAnsi="Arial" w:cs="Arial"/>
        </w:rPr>
      </w:pPr>
      <w:r w:rsidRPr="00B568B4">
        <w:rPr>
          <w:rFonts w:ascii="Arial" w:hAnsi="Arial" w:cs="Arial"/>
        </w:rPr>
        <w:t>The Steering Group is asked to consider these recommendations carefully, and decide whether to adopt them, as-is or after further discussion.</w:t>
      </w:r>
    </w:p>
    <w:p w:rsidR="00817B79" w:rsidRPr="00B568B4" w:rsidRDefault="00817B79">
      <w:pPr>
        <w:spacing w:after="0" w:line="240" w:lineRule="auto"/>
        <w:rPr>
          <w:rFonts w:ascii="Arial" w:hAnsi="Arial" w:cs="Arial"/>
        </w:rPr>
      </w:pPr>
    </w:p>
    <w:p w:rsidR="00817B79" w:rsidRPr="00B568B4" w:rsidRDefault="00817B79">
      <w:pPr>
        <w:spacing w:after="0" w:line="240" w:lineRule="auto"/>
        <w:rPr>
          <w:rFonts w:ascii="Arial" w:hAnsi="Arial" w:cs="Arial"/>
        </w:rPr>
      </w:pPr>
    </w:p>
    <w:p w:rsidR="00817B79" w:rsidRPr="00B568B4" w:rsidRDefault="00817B79">
      <w:pPr>
        <w:spacing w:after="0" w:line="240" w:lineRule="auto"/>
        <w:rPr>
          <w:rFonts w:ascii="Arial" w:hAnsi="Arial" w:cs="Arial"/>
        </w:rPr>
      </w:pPr>
      <w:r w:rsidRPr="00B568B4">
        <w:rPr>
          <w:rFonts w:ascii="Arial" w:hAnsi="Arial" w:cs="Arial"/>
        </w:rPr>
        <w:t>Nick Royle</w:t>
      </w:r>
    </w:p>
    <w:p w:rsidR="00817B79" w:rsidRPr="00B568B4" w:rsidRDefault="00817B79">
      <w:pPr>
        <w:spacing w:after="0" w:line="240" w:lineRule="auto"/>
        <w:rPr>
          <w:rFonts w:ascii="Arial" w:hAnsi="Arial" w:cs="Arial"/>
        </w:rPr>
      </w:pPr>
      <w:r w:rsidRPr="00B568B4">
        <w:rPr>
          <w:rFonts w:ascii="Arial" w:hAnsi="Arial" w:cs="Arial"/>
        </w:rPr>
        <w:t>CEO, The Cochrane Collaboration</w:t>
      </w:r>
    </w:p>
    <w:p w:rsidR="00817B79" w:rsidRPr="00B568B4" w:rsidRDefault="00676A35">
      <w:pPr>
        <w:spacing w:after="0" w:line="240" w:lineRule="auto"/>
        <w:rPr>
          <w:rFonts w:ascii="Arial" w:hAnsi="Arial" w:cs="Arial"/>
        </w:rPr>
      </w:pPr>
      <w:r w:rsidRPr="00B568B4">
        <w:rPr>
          <w:rFonts w:ascii="Arial" w:hAnsi="Arial" w:cs="Arial"/>
        </w:rPr>
        <w:t>Oxford, UK</w:t>
      </w:r>
      <w:r w:rsidR="00817B79" w:rsidRPr="00B568B4">
        <w:rPr>
          <w:rFonts w:ascii="Arial" w:hAnsi="Arial" w:cs="Arial"/>
        </w:rPr>
        <w:t xml:space="preserve">, </w:t>
      </w:r>
      <w:r w:rsidRPr="00B568B4">
        <w:rPr>
          <w:rFonts w:ascii="Arial" w:hAnsi="Arial" w:cs="Arial"/>
        </w:rPr>
        <w:t>17</w:t>
      </w:r>
      <w:r w:rsidR="00817B79" w:rsidRPr="00B568B4">
        <w:rPr>
          <w:rFonts w:ascii="Arial" w:hAnsi="Arial" w:cs="Arial"/>
        </w:rPr>
        <w:t xml:space="preserve"> Feb 2010</w:t>
      </w:r>
    </w:p>
    <w:p w:rsidR="00A639F7" w:rsidRPr="00B568B4" w:rsidRDefault="00A639F7" w:rsidP="00A639F7">
      <w:pPr>
        <w:autoSpaceDE w:val="0"/>
        <w:autoSpaceDN w:val="0"/>
        <w:ind w:right="754"/>
        <w:rPr>
          <w:rFonts w:ascii="Arial" w:hAnsi="Arial" w:cs="Arial"/>
          <w:b/>
          <w:u w:val="single"/>
        </w:rPr>
      </w:pPr>
      <w:r w:rsidRPr="00B568B4">
        <w:rPr>
          <w:rFonts w:ascii="Arial" w:hAnsi="Arial" w:cs="Arial"/>
          <w:b/>
          <w:u w:val="single"/>
        </w:rPr>
        <w:t>Annex A. Functional portfolios</w:t>
      </w:r>
    </w:p>
    <w:p w:rsidR="00A639F7" w:rsidRPr="00B568B4" w:rsidRDefault="00A639F7" w:rsidP="00A639F7">
      <w:pPr>
        <w:autoSpaceDE w:val="0"/>
        <w:autoSpaceDN w:val="0"/>
        <w:ind w:right="754"/>
        <w:rPr>
          <w:rFonts w:ascii="Arial" w:hAnsi="Arial" w:cs="Arial"/>
        </w:rPr>
      </w:pPr>
      <w:r w:rsidRPr="00B568B4">
        <w:rPr>
          <w:rFonts w:ascii="Arial" w:hAnsi="Arial" w:cs="Arial"/>
          <w:u w:val="single"/>
        </w:rPr>
        <w:t>Functional portfolios.</w:t>
      </w:r>
      <w:r w:rsidRPr="00B568B4">
        <w:rPr>
          <w:rFonts w:ascii="Arial" w:hAnsi="Arial" w:cs="Arial"/>
        </w:rPr>
        <w:t xml:space="preserve">  The following portfolios have been identified, and are described using a taxonomy based on that developed by the Strategic Review, with portfolios  further subdivided as follows:</w:t>
      </w:r>
    </w:p>
    <w:p w:rsidR="00A639F7" w:rsidRPr="00B568B4" w:rsidRDefault="00A639F7" w:rsidP="00A639F7">
      <w:pPr>
        <w:numPr>
          <w:ilvl w:val="0"/>
          <w:numId w:val="8"/>
        </w:numPr>
        <w:autoSpaceDE w:val="0"/>
        <w:autoSpaceDN w:val="0"/>
        <w:spacing w:after="0" w:line="240" w:lineRule="auto"/>
        <w:ind w:right="754"/>
        <w:rPr>
          <w:rFonts w:ascii="Arial" w:hAnsi="Arial" w:cs="Arial"/>
        </w:rPr>
      </w:pPr>
      <w:r w:rsidRPr="00B568B4">
        <w:rPr>
          <w:rFonts w:ascii="Arial" w:hAnsi="Arial" w:cs="Arial"/>
          <w:u w:val="single"/>
        </w:rPr>
        <w:t>Organisation and administration</w:t>
      </w:r>
      <w:r w:rsidRPr="00B568B4">
        <w:rPr>
          <w:rFonts w:ascii="Arial" w:hAnsi="Arial" w:cs="Arial"/>
        </w:rPr>
        <w:t>.</w:t>
      </w:r>
    </w:p>
    <w:p w:rsidR="00A639F7" w:rsidRPr="00B568B4" w:rsidRDefault="00A639F7" w:rsidP="00A639F7">
      <w:pPr>
        <w:autoSpaceDE w:val="0"/>
        <w:autoSpaceDN w:val="0"/>
        <w:spacing w:after="0" w:line="240" w:lineRule="auto"/>
        <w:ind w:right="754"/>
        <w:rPr>
          <w:rFonts w:ascii="Arial" w:hAnsi="Arial" w:cs="Arial"/>
        </w:rPr>
      </w:pPr>
    </w:p>
    <w:p w:rsidR="00A639F7" w:rsidRPr="00B568B4" w:rsidRDefault="00A639F7" w:rsidP="00A639F7">
      <w:pPr>
        <w:numPr>
          <w:ilvl w:val="1"/>
          <w:numId w:val="8"/>
        </w:numPr>
        <w:autoSpaceDE w:val="0"/>
        <w:autoSpaceDN w:val="0"/>
        <w:spacing w:after="0" w:line="240" w:lineRule="auto"/>
        <w:ind w:right="754"/>
        <w:rPr>
          <w:rFonts w:ascii="Arial" w:hAnsi="Arial" w:cs="Arial"/>
        </w:rPr>
      </w:pPr>
      <w:r w:rsidRPr="00B568B4">
        <w:rPr>
          <w:rFonts w:ascii="Arial" w:hAnsi="Arial" w:cs="Arial"/>
        </w:rPr>
        <w:t>Administration of the Charity, Limited Company and Trading Company</w:t>
      </w:r>
    </w:p>
    <w:p w:rsidR="00A639F7" w:rsidRPr="00B568B4" w:rsidRDefault="00A639F7" w:rsidP="00A639F7">
      <w:pPr>
        <w:numPr>
          <w:ilvl w:val="1"/>
          <w:numId w:val="8"/>
        </w:numPr>
        <w:autoSpaceDE w:val="0"/>
        <w:autoSpaceDN w:val="0"/>
        <w:spacing w:after="0" w:line="240" w:lineRule="auto"/>
        <w:ind w:right="754"/>
        <w:rPr>
          <w:rFonts w:ascii="Arial" w:hAnsi="Arial" w:cs="Arial"/>
        </w:rPr>
      </w:pPr>
      <w:r w:rsidRPr="00B568B4">
        <w:rPr>
          <w:rFonts w:ascii="Arial" w:hAnsi="Arial" w:cs="Arial"/>
        </w:rPr>
        <w:t>Organisational development, including:</w:t>
      </w:r>
    </w:p>
    <w:p w:rsidR="00A639F7" w:rsidRPr="00B568B4" w:rsidRDefault="00A639F7" w:rsidP="00A639F7">
      <w:pPr>
        <w:numPr>
          <w:ilvl w:val="2"/>
          <w:numId w:val="8"/>
        </w:numPr>
        <w:autoSpaceDE w:val="0"/>
        <w:autoSpaceDN w:val="0"/>
        <w:spacing w:after="0" w:line="240" w:lineRule="auto"/>
        <w:ind w:right="754"/>
        <w:rPr>
          <w:rFonts w:ascii="Arial" w:hAnsi="Arial" w:cs="Arial"/>
        </w:rPr>
      </w:pPr>
      <w:r w:rsidRPr="00B568B4">
        <w:rPr>
          <w:rFonts w:ascii="Arial" w:hAnsi="Arial" w:cs="Arial"/>
        </w:rPr>
        <w:t>Registration of new, and deregistration of end-of-life, entities</w:t>
      </w:r>
    </w:p>
    <w:p w:rsidR="00A639F7" w:rsidRPr="00B568B4" w:rsidRDefault="00A639F7" w:rsidP="00A639F7">
      <w:pPr>
        <w:numPr>
          <w:ilvl w:val="2"/>
          <w:numId w:val="8"/>
        </w:numPr>
        <w:autoSpaceDE w:val="0"/>
        <w:autoSpaceDN w:val="0"/>
        <w:spacing w:after="0" w:line="240" w:lineRule="auto"/>
        <w:ind w:right="754"/>
        <w:rPr>
          <w:rFonts w:ascii="Arial" w:hAnsi="Arial" w:cs="Arial"/>
        </w:rPr>
      </w:pPr>
      <w:r w:rsidRPr="00B568B4">
        <w:rPr>
          <w:rFonts w:ascii="Arial" w:hAnsi="Arial" w:cs="Arial"/>
        </w:rPr>
        <w:t>Monitoring and continuous improvement of existing entities</w:t>
      </w:r>
    </w:p>
    <w:p w:rsidR="00A639F7" w:rsidRPr="00B568B4" w:rsidRDefault="00A639F7" w:rsidP="00A639F7">
      <w:pPr>
        <w:numPr>
          <w:ilvl w:val="2"/>
          <w:numId w:val="8"/>
        </w:numPr>
        <w:autoSpaceDE w:val="0"/>
        <w:autoSpaceDN w:val="0"/>
        <w:spacing w:after="0" w:line="240" w:lineRule="auto"/>
        <w:ind w:right="754"/>
        <w:rPr>
          <w:rFonts w:ascii="Arial" w:hAnsi="Arial" w:cs="Arial"/>
        </w:rPr>
      </w:pPr>
      <w:r w:rsidRPr="00B568B4">
        <w:rPr>
          <w:rFonts w:ascii="Arial" w:hAnsi="Arial" w:cs="Arial"/>
        </w:rPr>
        <w:t>Organisational improvement (developing more efficient and effective structures)</w:t>
      </w:r>
    </w:p>
    <w:p w:rsidR="00A639F7" w:rsidRPr="00B568B4" w:rsidRDefault="00A639F7" w:rsidP="00A639F7">
      <w:pPr>
        <w:numPr>
          <w:ilvl w:val="1"/>
          <w:numId w:val="8"/>
        </w:numPr>
        <w:autoSpaceDE w:val="0"/>
        <w:autoSpaceDN w:val="0"/>
        <w:spacing w:after="0" w:line="240" w:lineRule="auto"/>
        <w:ind w:right="754"/>
        <w:rPr>
          <w:rFonts w:ascii="Arial" w:hAnsi="Arial" w:cs="Arial"/>
        </w:rPr>
      </w:pPr>
      <w:r w:rsidRPr="00B568B4">
        <w:rPr>
          <w:rFonts w:ascii="Arial" w:hAnsi="Arial" w:cs="Arial"/>
        </w:rPr>
        <w:t>Recognition and reward programs (e.g. complementary subscriptions, sponsored Colloquium registrations, prizes, funding awards, etc.)</w:t>
      </w:r>
    </w:p>
    <w:p w:rsidR="00A639F7" w:rsidRPr="00B568B4" w:rsidRDefault="00A639F7" w:rsidP="00A639F7">
      <w:pPr>
        <w:numPr>
          <w:ilvl w:val="1"/>
          <w:numId w:val="8"/>
        </w:numPr>
        <w:autoSpaceDE w:val="0"/>
        <w:autoSpaceDN w:val="0"/>
        <w:spacing w:after="0" w:line="240" w:lineRule="auto"/>
        <w:ind w:right="754"/>
        <w:rPr>
          <w:rFonts w:ascii="Arial" w:hAnsi="Arial" w:cs="Arial"/>
        </w:rPr>
      </w:pPr>
      <w:r w:rsidRPr="00B568B4">
        <w:rPr>
          <w:rFonts w:ascii="Arial" w:hAnsi="Arial" w:cs="Arial"/>
        </w:rPr>
        <w:t>Colloquium organisation</w:t>
      </w:r>
    </w:p>
    <w:p w:rsidR="00A639F7" w:rsidRPr="00B568B4" w:rsidRDefault="00A639F7" w:rsidP="00A639F7">
      <w:pPr>
        <w:autoSpaceDE w:val="0"/>
        <w:autoSpaceDN w:val="0"/>
        <w:ind w:right="754"/>
        <w:rPr>
          <w:rFonts w:ascii="Arial" w:hAnsi="Arial" w:cs="Arial"/>
        </w:rPr>
      </w:pPr>
    </w:p>
    <w:p w:rsidR="00A639F7" w:rsidRPr="00B568B4" w:rsidRDefault="00A639F7" w:rsidP="00A639F7">
      <w:pPr>
        <w:numPr>
          <w:ilvl w:val="0"/>
          <w:numId w:val="8"/>
        </w:numPr>
        <w:autoSpaceDE w:val="0"/>
        <w:autoSpaceDN w:val="0"/>
        <w:spacing w:after="0" w:line="240" w:lineRule="auto"/>
        <w:ind w:right="754"/>
        <w:rPr>
          <w:rFonts w:ascii="Arial" w:hAnsi="Arial" w:cs="Arial"/>
        </w:rPr>
      </w:pPr>
      <w:r w:rsidRPr="00B568B4">
        <w:rPr>
          <w:rFonts w:ascii="Arial" w:hAnsi="Arial" w:cs="Arial"/>
          <w:u w:val="single"/>
        </w:rPr>
        <w:t>Finance and sustainability</w:t>
      </w:r>
      <w:r w:rsidRPr="00B568B4">
        <w:rPr>
          <w:rFonts w:ascii="Arial" w:hAnsi="Arial" w:cs="Arial"/>
        </w:rPr>
        <w:t>.  (Q. Should this be integrated into ‘Organisation and administration?)</w:t>
      </w:r>
    </w:p>
    <w:p w:rsidR="00A639F7" w:rsidRPr="00B568B4" w:rsidRDefault="00A639F7" w:rsidP="00A639F7">
      <w:pPr>
        <w:autoSpaceDE w:val="0"/>
        <w:autoSpaceDN w:val="0"/>
        <w:spacing w:after="0" w:line="240" w:lineRule="auto"/>
        <w:ind w:left="720" w:right="754"/>
        <w:rPr>
          <w:rFonts w:ascii="Arial" w:hAnsi="Arial" w:cs="Arial"/>
        </w:rPr>
      </w:pPr>
    </w:p>
    <w:p w:rsidR="00A639F7" w:rsidRPr="00B568B4" w:rsidRDefault="00A639F7" w:rsidP="00A639F7">
      <w:pPr>
        <w:numPr>
          <w:ilvl w:val="1"/>
          <w:numId w:val="8"/>
        </w:numPr>
        <w:autoSpaceDE w:val="0"/>
        <w:autoSpaceDN w:val="0"/>
        <w:spacing w:after="0" w:line="240" w:lineRule="auto"/>
        <w:ind w:right="754"/>
        <w:rPr>
          <w:rFonts w:ascii="Arial" w:hAnsi="Arial" w:cs="Arial"/>
        </w:rPr>
      </w:pPr>
      <w:r w:rsidRPr="00B568B4">
        <w:rPr>
          <w:rFonts w:ascii="Arial" w:hAnsi="Arial" w:cs="Arial"/>
        </w:rPr>
        <w:t>Financial management and reporting (the role of the Treasurer)</w:t>
      </w:r>
    </w:p>
    <w:p w:rsidR="00A639F7" w:rsidRPr="00B568B4" w:rsidRDefault="00A639F7" w:rsidP="00A639F7">
      <w:pPr>
        <w:numPr>
          <w:ilvl w:val="1"/>
          <w:numId w:val="8"/>
        </w:numPr>
        <w:autoSpaceDE w:val="0"/>
        <w:autoSpaceDN w:val="0"/>
        <w:spacing w:after="0" w:line="240" w:lineRule="auto"/>
        <w:ind w:right="754"/>
        <w:rPr>
          <w:rFonts w:ascii="Arial" w:hAnsi="Arial" w:cs="Arial"/>
        </w:rPr>
      </w:pPr>
      <w:r w:rsidRPr="00B568B4">
        <w:rPr>
          <w:rFonts w:ascii="Arial" w:hAnsi="Arial" w:cs="Arial"/>
        </w:rPr>
        <w:t>Funding (maintaining current and raising future)</w:t>
      </w:r>
    </w:p>
    <w:p w:rsidR="00A639F7" w:rsidRPr="00B568B4" w:rsidRDefault="00A639F7" w:rsidP="00A639F7">
      <w:pPr>
        <w:autoSpaceDE w:val="0"/>
        <w:autoSpaceDN w:val="0"/>
        <w:spacing w:after="0" w:line="240" w:lineRule="auto"/>
        <w:ind w:right="754"/>
        <w:rPr>
          <w:rFonts w:ascii="Arial" w:hAnsi="Arial" w:cs="Arial"/>
          <w:u w:val="single"/>
        </w:rPr>
      </w:pPr>
    </w:p>
    <w:p w:rsidR="00A639F7" w:rsidRPr="00B568B4" w:rsidRDefault="00A639F7" w:rsidP="00A639F7">
      <w:pPr>
        <w:numPr>
          <w:ilvl w:val="0"/>
          <w:numId w:val="9"/>
        </w:numPr>
        <w:autoSpaceDE w:val="0"/>
        <w:autoSpaceDN w:val="0"/>
        <w:spacing w:after="0" w:line="240" w:lineRule="auto"/>
        <w:ind w:right="754"/>
        <w:rPr>
          <w:rFonts w:ascii="Arial" w:hAnsi="Arial" w:cs="Arial"/>
          <w:u w:val="single"/>
        </w:rPr>
      </w:pPr>
      <w:r w:rsidRPr="00B568B4">
        <w:rPr>
          <w:rFonts w:ascii="Arial" w:hAnsi="Arial" w:cs="Arial"/>
          <w:u w:val="single"/>
        </w:rPr>
        <w:t xml:space="preserve">Products.  </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i/>
        </w:rPr>
        <w:t>The Cochrane Library</w:t>
      </w:r>
    </w:p>
    <w:p w:rsidR="00A639F7" w:rsidRPr="00B568B4" w:rsidRDefault="00A639F7" w:rsidP="00A639F7">
      <w:pPr>
        <w:numPr>
          <w:ilvl w:val="2"/>
          <w:numId w:val="9"/>
        </w:numPr>
        <w:autoSpaceDE w:val="0"/>
        <w:autoSpaceDN w:val="0"/>
        <w:spacing w:after="0" w:line="240" w:lineRule="auto"/>
        <w:ind w:right="754"/>
        <w:rPr>
          <w:rFonts w:ascii="Arial" w:hAnsi="Arial" w:cs="Arial"/>
        </w:rPr>
      </w:pPr>
      <w:r w:rsidRPr="00B568B4">
        <w:rPr>
          <w:rFonts w:ascii="Arial" w:hAnsi="Arial" w:cs="Arial"/>
        </w:rPr>
        <w:t>Including preparation and presentation of Cochrane Systematic Reviews</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rPr>
        <w:t>Products developed as products of The Cochrane Collaboration</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rPr>
        <w:t>Commercial products and partnerships (note that for legal reasons this portfolio may be the responsibility of the Trading Company)</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rPr>
        <w:t>Products developed by entities and individuals of the Collaboration, for which the Collaboration has no direct responsibility</w:t>
      </w:r>
    </w:p>
    <w:p w:rsidR="00A639F7" w:rsidRPr="00B568B4" w:rsidRDefault="00A639F7" w:rsidP="00A639F7">
      <w:pPr>
        <w:autoSpaceDE w:val="0"/>
        <w:autoSpaceDN w:val="0"/>
        <w:spacing w:after="0" w:line="240" w:lineRule="auto"/>
        <w:ind w:right="754"/>
        <w:rPr>
          <w:rFonts w:ascii="Arial" w:hAnsi="Arial" w:cs="Arial"/>
        </w:rPr>
      </w:pPr>
    </w:p>
    <w:p w:rsidR="00A639F7" w:rsidRPr="00B568B4" w:rsidRDefault="00A639F7" w:rsidP="00A639F7">
      <w:pPr>
        <w:numPr>
          <w:ilvl w:val="0"/>
          <w:numId w:val="9"/>
        </w:numPr>
        <w:autoSpaceDE w:val="0"/>
        <w:autoSpaceDN w:val="0"/>
        <w:spacing w:after="0" w:line="240" w:lineRule="auto"/>
        <w:ind w:right="754"/>
        <w:rPr>
          <w:rFonts w:ascii="Arial" w:hAnsi="Arial" w:cs="Arial"/>
        </w:rPr>
      </w:pPr>
      <w:r w:rsidRPr="00B568B4">
        <w:rPr>
          <w:rFonts w:ascii="Arial" w:hAnsi="Arial" w:cs="Arial"/>
          <w:u w:val="single"/>
        </w:rPr>
        <w:t>External partnerships</w:t>
      </w:r>
      <w:r w:rsidRPr="00B568B4">
        <w:rPr>
          <w:rFonts w:ascii="Arial" w:hAnsi="Arial" w:cs="Arial"/>
        </w:rPr>
        <w:t>.</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rPr>
        <w:t>Marketing and communication</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rPr>
        <w:t>Advocacy (geographic and thematic)</w:t>
      </w:r>
    </w:p>
    <w:p w:rsidR="00A639F7" w:rsidRPr="00B568B4" w:rsidRDefault="00A639F7" w:rsidP="00A639F7">
      <w:pPr>
        <w:numPr>
          <w:ilvl w:val="1"/>
          <w:numId w:val="9"/>
        </w:numPr>
        <w:autoSpaceDE w:val="0"/>
        <w:autoSpaceDN w:val="0"/>
        <w:spacing w:after="0" w:line="240" w:lineRule="auto"/>
        <w:ind w:right="754"/>
        <w:rPr>
          <w:rFonts w:ascii="Arial" w:hAnsi="Arial" w:cs="Arial"/>
        </w:rPr>
      </w:pPr>
      <w:r w:rsidRPr="00B568B4">
        <w:rPr>
          <w:rFonts w:ascii="Arial" w:hAnsi="Arial" w:cs="Arial"/>
        </w:rPr>
        <w:lastRenderedPageBreak/>
        <w:t>Partnership activities</w:t>
      </w:r>
    </w:p>
    <w:p w:rsidR="00A639F7" w:rsidRPr="00B568B4" w:rsidRDefault="00A639F7" w:rsidP="00A639F7">
      <w:pPr>
        <w:autoSpaceDE w:val="0"/>
        <w:autoSpaceDN w:val="0"/>
        <w:spacing w:after="0" w:line="240" w:lineRule="auto"/>
        <w:ind w:right="754"/>
        <w:rPr>
          <w:rFonts w:ascii="Arial" w:hAnsi="Arial" w:cs="Arial"/>
        </w:rPr>
      </w:pPr>
      <w:bookmarkStart w:id="0" w:name="OLE_LINK1"/>
      <w:bookmarkStart w:id="1" w:name="OLE_LINK2"/>
    </w:p>
    <w:p w:rsidR="00A639F7" w:rsidRPr="00B568B4" w:rsidRDefault="00A639F7" w:rsidP="00A639F7">
      <w:pPr>
        <w:numPr>
          <w:ilvl w:val="0"/>
          <w:numId w:val="10"/>
        </w:numPr>
        <w:autoSpaceDE w:val="0"/>
        <w:autoSpaceDN w:val="0"/>
        <w:spacing w:after="0" w:line="240" w:lineRule="auto"/>
        <w:ind w:right="754"/>
        <w:rPr>
          <w:rFonts w:ascii="Arial" w:hAnsi="Arial" w:cs="Arial"/>
        </w:rPr>
      </w:pPr>
      <w:r w:rsidRPr="00B568B4">
        <w:rPr>
          <w:rFonts w:ascii="Arial" w:hAnsi="Arial" w:cs="Arial"/>
          <w:u w:val="single"/>
        </w:rPr>
        <w:t>Knowledge infrastructure</w:t>
      </w:r>
      <w:r w:rsidRPr="00B568B4">
        <w:rPr>
          <w:rFonts w:ascii="Arial" w:hAnsi="Arial" w:cs="Arial"/>
        </w:rPr>
        <w:t>.</w:t>
      </w:r>
    </w:p>
    <w:p w:rsidR="00A639F7" w:rsidRPr="00B568B4" w:rsidRDefault="00A639F7" w:rsidP="00A639F7">
      <w:pPr>
        <w:numPr>
          <w:ilvl w:val="1"/>
          <w:numId w:val="10"/>
        </w:numPr>
        <w:autoSpaceDE w:val="0"/>
        <w:autoSpaceDN w:val="0"/>
        <w:spacing w:after="0" w:line="240" w:lineRule="auto"/>
        <w:ind w:right="754"/>
        <w:rPr>
          <w:rFonts w:ascii="Arial" w:hAnsi="Arial" w:cs="Arial"/>
        </w:rPr>
      </w:pPr>
      <w:r w:rsidRPr="00B568B4">
        <w:rPr>
          <w:rFonts w:ascii="Arial" w:hAnsi="Arial" w:cs="Arial"/>
        </w:rPr>
        <w:t>Methods development</w:t>
      </w:r>
    </w:p>
    <w:p w:rsidR="00A639F7" w:rsidRPr="00B568B4" w:rsidRDefault="00A639F7" w:rsidP="00A639F7">
      <w:pPr>
        <w:numPr>
          <w:ilvl w:val="1"/>
          <w:numId w:val="10"/>
        </w:numPr>
        <w:autoSpaceDE w:val="0"/>
        <w:autoSpaceDN w:val="0"/>
        <w:spacing w:after="0" w:line="240" w:lineRule="auto"/>
        <w:ind w:right="754"/>
        <w:rPr>
          <w:rFonts w:ascii="Arial" w:hAnsi="Arial" w:cs="Arial"/>
        </w:rPr>
      </w:pPr>
      <w:r w:rsidRPr="00B568B4">
        <w:rPr>
          <w:rFonts w:ascii="Arial" w:hAnsi="Arial" w:cs="Arial"/>
        </w:rPr>
        <w:t>Training and capacity development</w:t>
      </w:r>
    </w:p>
    <w:p w:rsidR="00A639F7" w:rsidRPr="00B568B4" w:rsidRDefault="00A639F7" w:rsidP="00A639F7">
      <w:pPr>
        <w:autoSpaceDE w:val="0"/>
        <w:autoSpaceDN w:val="0"/>
        <w:ind w:right="754"/>
        <w:rPr>
          <w:rFonts w:ascii="Arial" w:hAnsi="Arial" w:cs="Arial"/>
        </w:rPr>
      </w:pPr>
    </w:p>
    <w:p w:rsidR="00A639F7" w:rsidRPr="00B568B4" w:rsidRDefault="00A639F7" w:rsidP="00A639F7">
      <w:pPr>
        <w:autoSpaceDE w:val="0"/>
        <w:autoSpaceDN w:val="0"/>
        <w:ind w:right="754"/>
        <w:rPr>
          <w:rFonts w:ascii="Arial" w:hAnsi="Arial" w:cs="Arial"/>
        </w:rPr>
      </w:pPr>
      <w:r w:rsidRPr="00B568B4">
        <w:rPr>
          <w:rFonts w:ascii="Arial" w:hAnsi="Arial" w:cs="Arial"/>
          <w:b/>
          <w:u w:val="single"/>
        </w:rPr>
        <w:t>People</w:t>
      </w:r>
      <w:r w:rsidRPr="00B568B4">
        <w:rPr>
          <w:rFonts w:ascii="Arial" w:hAnsi="Arial" w:cs="Arial"/>
          <w:u w:val="single"/>
        </w:rPr>
        <w:t xml:space="preserve">. </w:t>
      </w:r>
      <w:r w:rsidRPr="00B568B4">
        <w:rPr>
          <w:rFonts w:ascii="Arial" w:hAnsi="Arial" w:cs="Arial"/>
        </w:rPr>
        <w:t xml:space="preserve">The following have been identified to cover the portfolios described. </w:t>
      </w:r>
    </w:p>
    <w:p w:rsidR="00A639F7" w:rsidRPr="00B568B4" w:rsidRDefault="00A639F7" w:rsidP="00A639F7">
      <w:pPr>
        <w:numPr>
          <w:ilvl w:val="0"/>
          <w:numId w:val="10"/>
        </w:numPr>
        <w:autoSpaceDE w:val="0"/>
        <w:autoSpaceDN w:val="0"/>
        <w:spacing w:after="0" w:line="240" w:lineRule="auto"/>
        <w:ind w:right="754"/>
        <w:rPr>
          <w:rFonts w:ascii="Arial" w:hAnsi="Arial" w:cs="Arial"/>
        </w:rPr>
      </w:pPr>
      <w:r w:rsidRPr="00B568B4">
        <w:rPr>
          <w:rFonts w:ascii="Arial" w:hAnsi="Arial" w:cs="Arial"/>
        </w:rPr>
        <w:t>Organisation and administration</w:t>
      </w:r>
      <w:bookmarkEnd w:id="0"/>
      <w:bookmarkEnd w:id="1"/>
      <w:r w:rsidRPr="00B568B4">
        <w:rPr>
          <w:rFonts w:ascii="Arial" w:hAnsi="Arial" w:cs="Arial"/>
        </w:rPr>
        <w:t>: Hans, Katrina</w:t>
      </w:r>
    </w:p>
    <w:p w:rsidR="00A639F7" w:rsidRPr="00B568B4" w:rsidRDefault="00A639F7" w:rsidP="00A639F7">
      <w:pPr>
        <w:numPr>
          <w:ilvl w:val="0"/>
          <w:numId w:val="10"/>
        </w:numPr>
        <w:autoSpaceDE w:val="0"/>
        <w:autoSpaceDN w:val="0"/>
        <w:spacing w:after="0" w:line="240" w:lineRule="auto"/>
        <w:ind w:right="754"/>
        <w:rPr>
          <w:rFonts w:ascii="Arial" w:hAnsi="Arial" w:cs="Arial"/>
        </w:rPr>
      </w:pPr>
      <w:r w:rsidRPr="00B568B4">
        <w:rPr>
          <w:rFonts w:ascii="Arial" w:hAnsi="Arial" w:cs="Arial"/>
        </w:rPr>
        <w:t>Finance and sustainability: Donna, Zbys</w:t>
      </w:r>
    </w:p>
    <w:p w:rsidR="00A639F7" w:rsidRPr="00B568B4" w:rsidRDefault="00A639F7" w:rsidP="00A639F7">
      <w:pPr>
        <w:numPr>
          <w:ilvl w:val="0"/>
          <w:numId w:val="10"/>
        </w:numPr>
        <w:autoSpaceDE w:val="0"/>
        <w:autoSpaceDN w:val="0"/>
        <w:spacing w:after="0" w:line="240" w:lineRule="auto"/>
        <w:ind w:right="754"/>
        <w:rPr>
          <w:rFonts w:ascii="Arial" w:hAnsi="Arial" w:cs="Arial"/>
        </w:rPr>
      </w:pPr>
      <w:r w:rsidRPr="00B568B4">
        <w:rPr>
          <w:rFonts w:ascii="Arial" w:hAnsi="Arial" w:cs="Arial"/>
        </w:rPr>
        <w:t>Products: Gail, Roger, Sonja</w:t>
      </w:r>
    </w:p>
    <w:p w:rsidR="00A639F7" w:rsidRPr="00B568B4" w:rsidRDefault="00A639F7" w:rsidP="00A639F7">
      <w:pPr>
        <w:numPr>
          <w:ilvl w:val="0"/>
          <w:numId w:val="10"/>
        </w:numPr>
        <w:autoSpaceDE w:val="0"/>
        <w:autoSpaceDN w:val="0"/>
        <w:spacing w:after="0" w:line="240" w:lineRule="auto"/>
        <w:ind w:right="754"/>
        <w:rPr>
          <w:rFonts w:ascii="Arial" w:hAnsi="Arial" w:cs="Arial"/>
        </w:rPr>
      </w:pPr>
      <w:r w:rsidRPr="00B568B4">
        <w:rPr>
          <w:rFonts w:ascii="Arial" w:hAnsi="Arial" w:cs="Arial"/>
        </w:rPr>
        <w:t>External partnerships: Lisa, Liz, Mary Ellen, Mingming</w:t>
      </w:r>
    </w:p>
    <w:p w:rsidR="00A639F7" w:rsidRPr="00B568B4" w:rsidRDefault="00A639F7" w:rsidP="005E2CA1">
      <w:pPr>
        <w:numPr>
          <w:ilvl w:val="0"/>
          <w:numId w:val="10"/>
        </w:numPr>
        <w:spacing w:after="0" w:line="240" w:lineRule="auto"/>
        <w:rPr>
          <w:rFonts w:ascii="Arial" w:hAnsi="Arial" w:cs="Arial"/>
        </w:rPr>
      </w:pPr>
      <w:r w:rsidRPr="00B568B4">
        <w:rPr>
          <w:rFonts w:ascii="Arial" w:hAnsi="Arial" w:cs="Arial"/>
        </w:rPr>
        <w:t>Knowledge infrastructure: Julian, Rob, Sophie, Steve</w:t>
      </w:r>
    </w:p>
    <w:sectPr w:rsidR="00A639F7" w:rsidRPr="00B568B4" w:rsidSect="00AA7CCA">
      <w:footerReference w:type="default" r:id="rId13"/>
      <w:pgSz w:w="11906" w:h="16838" w:code="9"/>
      <w:pgMar w:top="1440" w:right="1440"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9D5" w:rsidRDefault="00AB19D5" w:rsidP="00C30505">
      <w:pPr>
        <w:spacing w:after="0" w:line="240" w:lineRule="auto"/>
      </w:pPr>
      <w:r>
        <w:separator/>
      </w:r>
    </w:p>
  </w:endnote>
  <w:endnote w:type="continuationSeparator" w:id="0">
    <w:p w:rsidR="00AB19D5" w:rsidRDefault="00AB19D5" w:rsidP="00C305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8B4" w:rsidRDefault="006F5A9A">
    <w:pPr>
      <w:pStyle w:val="Footer"/>
      <w:jc w:val="center"/>
    </w:pPr>
    <w:fldSimple w:instr=" PAGE   \* MERGEFORMAT ">
      <w:r w:rsidR="004C7DED">
        <w:rPr>
          <w:noProof/>
        </w:rPr>
        <w:t>1</w:t>
      </w:r>
    </w:fldSimple>
  </w:p>
  <w:p w:rsidR="00B568B4" w:rsidRDefault="00B568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59" w:rsidRPr="00C30505" w:rsidRDefault="004F0659" w:rsidP="00C3050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59" w:rsidRDefault="006F5A9A">
    <w:pPr>
      <w:pStyle w:val="Footer"/>
      <w:jc w:val="center"/>
    </w:pPr>
    <w:r w:rsidRPr="00002919">
      <w:rPr>
        <w:sz w:val="18"/>
        <w:szCs w:val="18"/>
      </w:rPr>
      <w:fldChar w:fldCharType="begin"/>
    </w:r>
    <w:r w:rsidR="004F0659" w:rsidRPr="00002919">
      <w:rPr>
        <w:sz w:val="18"/>
        <w:szCs w:val="18"/>
      </w:rPr>
      <w:instrText xml:space="preserve"> PAGE   \* MERGEFORMAT </w:instrText>
    </w:r>
    <w:r w:rsidRPr="00002919">
      <w:rPr>
        <w:sz w:val="18"/>
        <w:szCs w:val="18"/>
      </w:rPr>
      <w:fldChar w:fldCharType="separate"/>
    </w:r>
    <w:r w:rsidR="004C7DED">
      <w:rPr>
        <w:noProof/>
        <w:sz w:val="18"/>
        <w:szCs w:val="18"/>
      </w:rPr>
      <w:t>10</w:t>
    </w:r>
    <w:r w:rsidRPr="00002919">
      <w:rPr>
        <w:sz w:val="18"/>
        <w:szCs w:val="18"/>
      </w:rPr>
      <w:fldChar w:fldCharType="end"/>
    </w:r>
  </w:p>
  <w:p w:rsidR="004F0659" w:rsidRPr="00C30505" w:rsidRDefault="004F0659" w:rsidP="00C305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9D5" w:rsidRDefault="00AB19D5" w:rsidP="00C30505">
      <w:pPr>
        <w:spacing w:after="0" w:line="240" w:lineRule="auto"/>
      </w:pPr>
      <w:r>
        <w:separator/>
      </w:r>
    </w:p>
  </w:footnote>
  <w:footnote w:type="continuationSeparator" w:id="0">
    <w:p w:rsidR="00AB19D5" w:rsidRDefault="00AB19D5" w:rsidP="00C305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8B4" w:rsidRPr="00B568B4" w:rsidRDefault="00B568B4" w:rsidP="00B568B4">
    <w:pPr>
      <w:pStyle w:val="Header"/>
      <w:jc w:val="center"/>
      <w:rPr>
        <w:rFonts w:ascii="Arial" w:hAnsi="Arial" w:cs="Arial"/>
        <w:b/>
      </w:rPr>
    </w:pPr>
    <w:r w:rsidRPr="00B568B4">
      <w:rPr>
        <w:rFonts w:ascii="Arial" w:hAnsi="Arial" w:cs="Arial"/>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93A67"/>
    <w:multiLevelType w:val="hybridMultilevel"/>
    <w:tmpl w:val="A64075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486BA6"/>
    <w:multiLevelType w:val="hybridMultilevel"/>
    <w:tmpl w:val="3CFAC99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82D3249"/>
    <w:multiLevelType w:val="hybridMultilevel"/>
    <w:tmpl w:val="EDE4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3504F0"/>
    <w:multiLevelType w:val="hybridMultilevel"/>
    <w:tmpl w:val="5BCAE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B3507B0"/>
    <w:multiLevelType w:val="hybridMultilevel"/>
    <w:tmpl w:val="ABBA85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B7D410D"/>
    <w:multiLevelType w:val="hybridMultilevel"/>
    <w:tmpl w:val="B8AC2EF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1A3EFA"/>
    <w:multiLevelType w:val="hybridMultilevel"/>
    <w:tmpl w:val="86EC8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CF7399"/>
    <w:multiLevelType w:val="hybridMultilevel"/>
    <w:tmpl w:val="934EA960"/>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8">
    <w:nsid w:val="28FA4A7F"/>
    <w:multiLevelType w:val="hybridMultilevel"/>
    <w:tmpl w:val="6E12FF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FCC6F5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A906AB5"/>
    <w:multiLevelType w:val="hybridMultilevel"/>
    <w:tmpl w:val="CA082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393B2C"/>
    <w:multiLevelType w:val="hybridMultilevel"/>
    <w:tmpl w:val="1B248A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5EA5A1E"/>
    <w:multiLevelType w:val="hybridMultilevel"/>
    <w:tmpl w:val="FBAEDD1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8093EB8"/>
    <w:multiLevelType w:val="hybridMultilevel"/>
    <w:tmpl w:val="6B8C3F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9DC3CE2"/>
    <w:multiLevelType w:val="hybridMultilevel"/>
    <w:tmpl w:val="F5705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F250BCD"/>
    <w:multiLevelType w:val="hybridMultilevel"/>
    <w:tmpl w:val="D5908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BD2F91"/>
    <w:multiLevelType w:val="hybridMultilevel"/>
    <w:tmpl w:val="FCECB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DDB438F"/>
    <w:multiLevelType w:val="hybridMultilevel"/>
    <w:tmpl w:val="CAD263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6E451BF9"/>
    <w:multiLevelType w:val="hybridMultilevel"/>
    <w:tmpl w:val="CF381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4B0B32"/>
    <w:multiLevelType w:val="multilevel"/>
    <w:tmpl w:val="4A0E590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6E4E6828"/>
    <w:multiLevelType w:val="hybridMultilevel"/>
    <w:tmpl w:val="38A805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202190B"/>
    <w:multiLevelType w:val="hybridMultilevel"/>
    <w:tmpl w:val="0750C22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E0C56B2"/>
    <w:multiLevelType w:val="hybridMultilevel"/>
    <w:tmpl w:val="651667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14"/>
  </w:num>
  <w:num w:numId="3">
    <w:abstractNumId w:val="16"/>
  </w:num>
  <w:num w:numId="4">
    <w:abstractNumId w:val="22"/>
  </w:num>
  <w:num w:numId="5">
    <w:abstractNumId w:val="15"/>
  </w:num>
  <w:num w:numId="6">
    <w:abstractNumId w:val="6"/>
  </w:num>
  <w:num w:numId="7">
    <w:abstractNumId w:val="11"/>
  </w:num>
  <w:num w:numId="8">
    <w:abstractNumId w:val="4"/>
  </w:num>
  <w:num w:numId="9">
    <w:abstractNumId w:val="21"/>
  </w:num>
  <w:num w:numId="10">
    <w:abstractNumId w:val="17"/>
  </w:num>
  <w:num w:numId="11">
    <w:abstractNumId w:val="7"/>
  </w:num>
  <w:num w:numId="12">
    <w:abstractNumId w:val="13"/>
  </w:num>
  <w:num w:numId="13">
    <w:abstractNumId w:val="3"/>
  </w:num>
  <w:num w:numId="14">
    <w:abstractNumId w:val="1"/>
  </w:num>
  <w:num w:numId="15">
    <w:abstractNumId w:val="8"/>
  </w:num>
  <w:num w:numId="16">
    <w:abstractNumId w:val="10"/>
  </w:num>
  <w:num w:numId="17">
    <w:abstractNumId w:val="12"/>
  </w:num>
  <w:num w:numId="18">
    <w:abstractNumId w:val="20"/>
  </w:num>
  <w:num w:numId="19">
    <w:abstractNumId w:val="2"/>
  </w:num>
  <w:num w:numId="20">
    <w:abstractNumId w:val="9"/>
  </w:num>
  <w:num w:numId="21">
    <w:abstractNumId w:val="19"/>
  </w:num>
  <w:num w:numId="22">
    <w:abstractNumId w:val="0"/>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F1085"/>
    <w:rsid w:val="00002919"/>
    <w:rsid w:val="0003001B"/>
    <w:rsid w:val="0003352D"/>
    <w:rsid w:val="000A240F"/>
    <w:rsid w:val="000B3D82"/>
    <w:rsid w:val="000C73F1"/>
    <w:rsid w:val="00110D2D"/>
    <w:rsid w:val="00144AED"/>
    <w:rsid w:val="00173341"/>
    <w:rsid w:val="001B4878"/>
    <w:rsid w:val="002057ED"/>
    <w:rsid w:val="002907A9"/>
    <w:rsid w:val="002A614A"/>
    <w:rsid w:val="002C7E66"/>
    <w:rsid w:val="002D2C06"/>
    <w:rsid w:val="003071DE"/>
    <w:rsid w:val="00320D73"/>
    <w:rsid w:val="00363E41"/>
    <w:rsid w:val="00374310"/>
    <w:rsid w:val="00382878"/>
    <w:rsid w:val="00397F91"/>
    <w:rsid w:val="003B5762"/>
    <w:rsid w:val="0042627F"/>
    <w:rsid w:val="00496ABF"/>
    <w:rsid w:val="004B06FE"/>
    <w:rsid w:val="004C7DED"/>
    <w:rsid w:val="004F0659"/>
    <w:rsid w:val="00573A67"/>
    <w:rsid w:val="0059076D"/>
    <w:rsid w:val="0059377B"/>
    <w:rsid w:val="00597E50"/>
    <w:rsid w:val="005C6366"/>
    <w:rsid w:val="005E2CA1"/>
    <w:rsid w:val="00615902"/>
    <w:rsid w:val="00626D90"/>
    <w:rsid w:val="006546D6"/>
    <w:rsid w:val="00676A35"/>
    <w:rsid w:val="00680A74"/>
    <w:rsid w:val="006A7283"/>
    <w:rsid w:val="006D7749"/>
    <w:rsid w:val="006F4330"/>
    <w:rsid w:val="006F5A9A"/>
    <w:rsid w:val="00707BF8"/>
    <w:rsid w:val="00714CB2"/>
    <w:rsid w:val="00733851"/>
    <w:rsid w:val="00745E28"/>
    <w:rsid w:val="00757443"/>
    <w:rsid w:val="0081306D"/>
    <w:rsid w:val="00813FB6"/>
    <w:rsid w:val="00817B79"/>
    <w:rsid w:val="00844AC8"/>
    <w:rsid w:val="00846CDC"/>
    <w:rsid w:val="00851499"/>
    <w:rsid w:val="008744C3"/>
    <w:rsid w:val="008A2F49"/>
    <w:rsid w:val="00971ED9"/>
    <w:rsid w:val="00981F1A"/>
    <w:rsid w:val="009D7379"/>
    <w:rsid w:val="009E4183"/>
    <w:rsid w:val="00A639F7"/>
    <w:rsid w:val="00AA0D7A"/>
    <w:rsid w:val="00AA7CCA"/>
    <w:rsid w:val="00AB19D5"/>
    <w:rsid w:val="00AF1742"/>
    <w:rsid w:val="00B1377C"/>
    <w:rsid w:val="00B42C67"/>
    <w:rsid w:val="00B568B4"/>
    <w:rsid w:val="00B942E6"/>
    <w:rsid w:val="00BC713F"/>
    <w:rsid w:val="00C14FE5"/>
    <w:rsid w:val="00C224B0"/>
    <w:rsid w:val="00C30505"/>
    <w:rsid w:val="00C80C68"/>
    <w:rsid w:val="00C84CE2"/>
    <w:rsid w:val="00C938C0"/>
    <w:rsid w:val="00CD2B44"/>
    <w:rsid w:val="00CE4711"/>
    <w:rsid w:val="00CF1085"/>
    <w:rsid w:val="00D72801"/>
    <w:rsid w:val="00D77A44"/>
    <w:rsid w:val="00D87C76"/>
    <w:rsid w:val="00DE6435"/>
    <w:rsid w:val="00E2153E"/>
    <w:rsid w:val="00E65201"/>
    <w:rsid w:val="00E97854"/>
    <w:rsid w:val="00EC3F51"/>
    <w:rsid w:val="00EE0CCB"/>
    <w:rsid w:val="00EF5ABA"/>
    <w:rsid w:val="00F17475"/>
    <w:rsid w:val="00F33B15"/>
    <w:rsid w:val="00F55A57"/>
    <w:rsid w:val="00F708C9"/>
    <w:rsid w:val="00F84158"/>
    <w:rsid w:val="00FE21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4C3"/>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1085"/>
    <w:rPr>
      <w:b/>
      <w:bCs/>
    </w:rPr>
  </w:style>
  <w:style w:type="table" w:styleId="TableGrid">
    <w:name w:val="Table Grid"/>
    <w:basedOn w:val="TableNormal"/>
    <w:uiPriority w:val="59"/>
    <w:rsid w:val="00CF10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30505"/>
    <w:rPr>
      <w:sz w:val="20"/>
      <w:szCs w:val="20"/>
    </w:rPr>
  </w:style>
  <w:style w:type="character" w:customStyle="1" w:styleId="FootnoteTextChar">
    <w:name w:val="Footnote Text Char"/>
    <w:basedOn w:val="DefaultParagraphFont"/>
    <w:link w:val="FootnoteText"/>
    <w:uiPriority w:val="99"/>
    <w:semiHidden/>
    <w:rsid w:val="00C30505"/>
    <w:rPr>
      <w:lang w:eastAsia="en-US"/>
    </w:rPr>
  </w:style>
  <w:style w:type="character" w:styleId="FootnoteReference">
    <w:name w:val="footnote reference"/>
    <w:basedOn w:val="DefaultParagraphFont"/>
    <w:uiPriority w:val="99"/>
    <w:semiHidden/>
    <w:unhideWhenUsed/>
    <w:rsid w:val="00C30505"/>
    <w:rPr>
      <w:vertAlign w:val="superscript"/>
    </w:rPr>
  </w:style>
  <w:style w:type="paragraph" w:styleId="Header">
    <w:name w:val="header"/>
    <w:basedOn w:val="Normal"/>
    <w:link w:val="HeaderChar"/>
    <w:uiPriority w:val="99"/>
    <w:semiHidden/>
    <w:unhideWhenUsed/>
    <w:rsid w:val="00C30505"/>
    <w:pPr>
      <w:tabs>
        <w:tab w:val="center" w:pos="4513"/>
        <w:tab w:val="right" w:pos="9026"/>
      </w:tabs>
    </w:pPr>
  </w:style>
  <w:style w:type="character" w:customStyle="1" w:styleId="HeaderChar">
    <w:name w:val="Header Char"/>
    <w:basedOn w:val="DefaultParagraphFont"/>
    <w:link w:val="Header"/>
    <w:uiPriority w:val="99"/>
    <w:semiHidden/>
    <w:rsid w:val="00C30505"/>
    <w:rPr>
      <w:sz w:val="22"/>
      <w:szCs w:val="22"/>
      <w:lang w:eastAsia="en-US"/>
    </w:rPr>
  </w:style>
  <w:style w:type="paragraph" w:styleId="Footer">
    <w:name w:val="footer"/>
    <w:basedOn w:val="Normal"/>
    <w:link w:val="FooterChar"/>
    <w:uiPriority w:val="99"/>
    <w:unhideWhenUsed/>
    <w:rsid w:val="00C30505"/>
    <w:pPr>
      <w:tabs>
        <w:tab w:val="center" w:pos="4513"/>
        <w:tab w:val="right" w:pos="9026"/>
      </w:tabs>
    </w:pPr>
  </w:style>
  <w:style w:type="character" w:customStyle="1" w:styleId="FooterChar">
    <w:name w:val="Footer Char"/>
    <w:basedOn w:val="DefaultParagraphFont"/>
    <w:link w:val="Footer"/>
    <w:uiPriority w:val="99"/>
    <w:rsid w:val="00C30505"/>
    <w:rPr>
      <w:sz w:val="22"/>
      <w:szCs w:val="22"/>
      <w:lang w:eastAsia="en-US"/>
    </w:rPr>
  </w:style>
  <w:style w:type="paragraph" w:styleId="BalloonText">
    <w:name w:val="Balloon Text"/>
    <w:basedOn w:val="Normal"/>
    <w:link w:val="BalloonTextChar"/>
    <w:uiPriority w:val="99"/>
    <w:semiHidden/>
    <w:unhideWhenUsed/>
    <w:rsid w:val="00382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878"/>
    <w:rPr>
      <w:rFonts w:ascii="Tahoma" w:hAnsi="Tahoma" w:cs="Tahoma"/>
      <w:sz w:val="16"/>
      <w:szCs w:val="16"/>
      <w:lang w:eastAsia="en-US"/>
    </w:rPr>
  </w:style>
  <w:style w:type="paragraph" w:styleId="ListParagraph">
    <w:name w:val="List Paragraph"/>
    <w:basedOn w:val="Normal"/>
    <w:uiPriority w:val="34"/>
    <w:qFormat/>
    <w:rsid w:val="00597E50"/>
    <w:pPr>
      <w:ind w:left="720"/>
      <w:contextualSpacing/>
    </w:pPr>
  </w:style>
</w:styles>
</file>

<file path=word/webSettings.xml><?xml version="1.0" encoding="utf-8"?>
<w:webSettings xmlns:r="http://schemas.openxmlformats.org/officeDocument/2006/relationships" xmlns:w="http://schemas.openxmlformats.org/wordprocessingml/2006/main">
  <w:divs>
    <w:div w:id="190437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3330</Words>
  <Characters>18983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Royle</dc:creator>
  <cp:keywords/>
  <dc:description/>
  <cp:lastModifiedBy>Jini Hetherington</cp:lastModifiedBy>
  <cp:revision>2</cp:revision>
  <dcterms:created xsi:type="dcterms:W3CDTF">2010-02-22T14:10:00Z</dcterms:created>
  <dcterms:modified xsi:type="dcterms:W3CDTF">2010-02-22T14:10:00Z</dcterms:modified>
</cp:coreProperties>
</file>